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A0" w:rsidRDefault="006B3EA0">
      <w:pPr>
        <w:spacing w:before="9"/>
        <w:rPr>
          <w:rFonts w:ascii="Times New Roman" w:eastAsia="Times New Roman" w:hAnsi="Times New Roman" w:cs="Times New Roman"/>
          <w:sz w:val="7"/>
          <w:szCs w:val="7"/>
        </w:rPr>
      </w:pPr>
      <w:bookmarkStart w:id="0" w:name="_GoBack"/>
      <w:bookmarkEnd w:id="0"/>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C66157">
      <w:pPr>
        <w:spacing w:before="73"/>
        <w:ind w:left="2179" w:right="1948"/>
        <w:jc w:val="center"/>
        <w:rPr>
          <w:rFonts w:ascii="Calibri" w:eastAsia="Calibri" w:hAnsi="Calibri" w:cs="Calibri"/>
          <w:sz w:val="36"/>
          <w:szCs w:val="36"/>
        </w:rPr>
      </w:pPr>
      <w:r>
        <w:rPr>
          <w:rFonts w:ascii="Calibri"/>
          <w:spacing w:val="-1"/>
          <w:sz w:val="36"/>
        </w:rPr>
        <w:t>2018</w:t>
      </w:r>
      <w:r w:rsidR="003A4B63">
        <w:rPr>
          <w:rFonts w:ascii="Calibri"/>
          <w:spacing w:val="-22"/>
          <w:sz w:val="36"/>
        </w:rPr>
        <w:t xml:space="preserve"> </w:t>
      </w:r>
      <w:r w:rsidR="000C3652">
        <w:rPr>
          <w:rFonts w:ascii="Calibri"/>
          <w:spacing w:val="-22"/>
          <w:sz w:val="36"/>
        </w:rPr>
        <w:t>Summer</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sidR="00CE615C">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9101D6">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1" w:name="LEGAL_ASPECTS_OF_SAFETY-8HRS"/>
      <w:bookmarkEnd w:id="1"/>
    </w:p>
    <w:p w:rsidR="0092210D" w:rsidRDefault="00ED11BF" w:rsidP="0092210D">
      <w:pPr>
        <w:pStyle w:val="Heading1"/>
        <w:ind w:left="0"/>
      </w:pPr>
      <w:r>
        <w:t>Disaster Preparedness:  Lessons Learned from Major Storms Katrina, Rita, and Harvey</w:t>
      </w:r>
      <w:r w:rsidR="0092210D" w:rsidRPr="000E4D6E">
        <w:t xml:space="preserve"> – 8 hrs</w:t>
      </w:r>
    </w:p>
    <w:p w:rsidR="00ED11BF" w:rsidRDefault="00ED11BF" w:rsidP="0092210D">
      <w:pPr>
        <w:pStyle w:val="Heading1"/>
        <w:ind w:left="0"/>
        <w:rPr>
          <w:b w:val="0"/>
        </w:rPr>
      </w:pPr>
      <w:r w:rsidRPr="00ED11BF">
        <w:rPr>
          <w:b w:val="0"/>
        </w:rPr>
        <w:t>Natural disasters are inevitable.  It's impossible to always have the ability to predict an occurrence or an incident.  Disaster preparedness is crucial to both safety and emergency management because it saves lives and protects property in these situations.  This class provides an overview of the history and science of disasters; major incidence reporting, planning, mitigation, action and the recovery roles of state, federal, local and volunteer organizations.   There will also be lessons learned workshops from hurricanes Katrina and Rita, and tropical storm Harvey.</w:t>
      </w:r>
    </w:p>
    <w:p w:rsidR="0092210D" w:rsidRDefault="00CD735A" w:rsidP="0092210D">
      <w:pPr>
        <w:pStyle w:val="Heading1"/>
        <w:ind w:left="0"/>
        <w:rPr>
          <w:b w:val="0"/>
        </w:rPr>
      </w:pPr>
      <w:r>
        <w:rPr>
          <w:b w:val="0"/>
        </w:rPr>
        <w:t>SAFE-</w:t>
      </w:r>
      <w:r w:rsidR="00BA2B1B">
        <w:rPr>
          <w:b w:val="0"/>
        </w:rPr>
        <w:t>0526-</w:t>
      </w:r>
      <w:r>
        <w:rPr>
          <w:b w:val="0"/>
        </w:rPr>
        <w:t>OSHT-1071-</w:t>
      </w:r>
      <w:r w:rsidR="00BA2B1B">
        <w:rPr>
          <w:b w:val="0"/>
        </w:rPr>
        <w:t>108</w:t>
      </w:r>
      <w:r w:rsidR="0092210D" w:rsidRPr="00EA689B">
        <w:rPr>
          <w:b w:val="0"/>
        </w:rPr>
        <w:t>CL</w:t>
      </w:r>
      <w:r w:rsidR="0092210D" w:rsidRPr="00EA689B">
        <w:rPr>
          <w:b w:val="0"/>
        </w:rPr>
        <w:tab/>
        <w:t>0</w:t>
      </w:r>
      <w:r w:rsidR="00ED11BF">
        <w:rPr>
          <w:b w:val="0"/>
        </w:rPr>
        <w:t>6</w:t>
      </w:r>
      <w:r w:rsidR="0092210D" w:rsidRPr="00EA689B">
        <w:rPr>
          <w:b w:val="0"/>
        </w:rPr>
        <w:t>/</w:t>
      </w:r>
      <w:r w:rsidR="0092210D">
        <w:rPr>
          <w:b w:val="0"/>
        </w:rPr>
        <w:t>0</w:t>
      </w:r>
      <w:r w:rsidR="00ED11BF">
        <w:rPr>
          <w:b w:val="0"/>
        </w:rPr>
        <w:t>1</w:t>
      </w:r>
      <w:r w:rsidR="00A5498D">
        <w:rPr>
          <w:b w:val="0"/>
        </w:rPr>
        <w:t>/18</w:t>
      </w:r>
      <w:r w:rsidR="0092210D" w:rsidRPr="00EA689B">
        <w:rPr>
          <w:b w:val="0"/>
        </w:rPr>
        <w:tab/>
        <w:t xml:space="preserve">GCSI Rm </w:t>
      </w:r>
      <w:r w:rsidR="00A5498D">
        <w:rPr>
          <w:b w:val="0"/>
        </w:rPr>
        <w:t>112</w:t>
      </w:r>
      <w:r w:rsidR="0092210D" w:rsidRPr="00EA689B">
        <w:rPr>
          <w:b w:val="0"/>
        </w:rPr>
        <w:tab/>
      </w:r>
      <w:r w:rsidR="0092210D" w:rsidRPr="00EA689B">
        <w:rPr>
          <w:b w:val="0"/>
        </w:rPr>
        <w:tab/>
      </w:r>
      <w:r w:rsidR="00ED11BF">
        <w:rPr>
          <w:b w:val="0"/>
        </w:rPr>
        <w:t>S. Wilson</w:t>
      </w:r>
    </w:p>
    <w:p w:rsidR="0092210D" w:rsidRPr="000E4D6E" w:rsidRDefault="0092210D" w:rsidP="0092210D">
      <w:pPr>
        <w:pStyle w:val="Heading1"/>
        <w:ind w:left="0"/>
        <w:rPr>
          <w:b w:val="0"/>
        </w:rPr>
      </w:pPr>
    </w:p>
    <w:p w:rsidR="000E4D6E" w:rsidRDefault="00ED11BF" w:rsidP="000E4D6E">
      <w:pPr>
        <w:pStyle w:val="Heading1"/>
        <w:ind w:left="0"/>
      </w:pPr>
      <w:r>
        <w:t xml:space="preserve">Organizational Challenges and Tactics for Safety </w:t>
      </w:r>
      <w:r w:rsidR="000E4D6E" w:rsidRPr="000E4D6E">
        <w:t>– 8 hrs</w:t>
      </w:r>
    </w:p>
    <w:p w:rsidR="008A2338" w:rsidRDefault="00CD735A" w:rsidP="00A5498D">
      <w:pPr>
        <w:pStyle w:val="Heading1"/>
        <w:ind w:left="0"/>
        <w:rPr>
          <w:b w:val="0"/>
        </w:rPr>
      </w:pPr>
      <w:r w:rsidRPr="00CD735A">
        <w:rPr>
          <w:b w:val="0"/>
        </w:rPr>
        <w:t xml:space="preserve">Safety doesn’t have to be all about costly investments and detailed procedures, protective measures, </w:t>
      </w:r>
      <w:r w:rsidRPr="00CD735A">
        <w:rPr>
          <w:b w:val="0"/>
        </w:rPr>
        <w:lastRenderedPageBreak/>
        <w:t>and equipment. Much of what makes for an effective safety and health program is communicating and collaborating with co-workers to understand workplace threats and actively seek safer ways of doing business. This course will review conditions that promote risk and how to recognize and confront organizational barriers and at-risk behaviors.  We will explore methods for communicating with employees and leaders in an effective manner</w:t>
      </w:r>
      <w:r>
        <w:rPr>
          <w:b w:val="0"/>
        </w:rPr>
        <w:t xml:space="preserve"> to positively influence safety.</w:t>
      </w:r>
    </w:p>
    <w:p w:rsidR="002B2C72" w:rsidRDefault="00CD735A" w:rsidP="00A5498D">
      <w:pPr>
        <w:pStyle w:val="Heading1"/>
        <w:ind w:left="0"/>
        <w:rPr>
          <w:b w:val="0"/>
        </w:rPr>
      </w:pPr>
      <w:r>
        <w:rPr>
          <w:b w:val="0"/>
        </w:rPr>
        <w:t>SAFE</w:t>
      </w:r>
      <w:r w:rsidR="00EA689B" w:rsidRPr="00EA689B">
        <w:rPr>
          <w:b w:val="0"/>
        </w:rPr>
        <w:t>-</w:t>
      </w:r>
      <w:r w:rsidR="00050518">
        <w:rPr>
          <w:b w:val="0"/>
        </w:rPr>
        <w:t>0527-</w:t>
      </w:r>
      <w:r w:rsidR="00EA689B" w:rsidRPr="00EA689B">
        <w:rPr>
          <w:b w:val="0"/>
        </w:rPr>
        <w:t>OSHT-1071-</w:t>
      </w:r>
      <w:r w:rsidR="00050518">
        <w:rPr>
          <w:b w:val="0"/>
        </w:rPr>
        <w:t>1</w:t>
      </w:r>
      <w:r>
        <w:rPr>
          <w:b w:val="0"/>
        </w:rPr>
        <w:t>0</w:t>
      </w:r>
      <w:r w:rsidR="00050518">
        <w:rPr>
          <w:b w:val="0"/>
        </w:rPr>
        <w:t>9</w:t>
      </w:r>
      <w:r w:rsidR="009A1AB7">
        <w:rPr>
          <w:b w:val="0"/>
        </w:rPr>
        <w:t>CL</w:t>
      </w:r>
      <w:r w:rsidR="009A1AB7">
        <w:rPr>
          <w:b w:val="0"/>
        </w:rPr>
        <w:tab/>
        <w:t>06/15</w:t>
      </w:r>
      <w:r w:rsidR="00A5498D">
        <w:rPr>
          <w:b w:val="0"/>
        </w:rPr>
        <w:t>/18</w:t>
      </w:r>
      <w:r w:rsidR="00A5498D">
        <w:rPr>
          <w:b w:val="0"/>
        </w:rPr>
        <w:tab/>
        <w:t>GCSI Rm 112</w:t>
      </w:r>
      <w:r w:rsidR="00EA689B" w:rsidRPr="00EA689B">
        <w:rPr>
          <w:b w:val="0"/>
        </w:rPr>
        <w:tab/>
      </w:r>
      <w:r w:rsidR="00EA689B" w:rsidRPr="00EA689B">
        <w:rPr>
          <w:b w:val="0"/>
        </w:rPr>
        <w:tab/>
      </w:r>
      <w:r>
        <w:rPr>
          <w:b w:val="0"/>
        </w:rPr>
        <w:t>D. Loyd</w:t>
      </w:r>
    </w:p>
    <w:p w:rsidR="00DD69C7" w:rsidRDefault="00DD69C7" w:rsidP="00A5498D">
      <w:pPr>
        <w:pStyle w:val="Heading1"/>
        <w:ind w:left="0"/>
        <w:rPr>
          <w:b w:val="0"/>
        </w:rPr>
      </w:pPr>
    </w:p>
    <w:p w:rsidR="00DD69C7" w:rsidRDefault="00DD69C7" w:rsidP="00A5498D">
      <w:pPr>
        <w:pStyle w:val="Heading1"/>
        <w:ind w:left="0"/>
      </w:pPr>
      <w:r w:rsidRPr="00DD69C7">
        <w:t xml:space="preserve">Construction Site Safety Awareness </w:t>
      </w:r>
      <w:r>
        <w:t>–</w:t>
      </w:r>
      <w:r w:rsidRPr="00DD69C7">
        <w:t xml:space="preserve"> 8</w:t>
      </w:r>
      <w:r w:rsidR="00CE615C">
        <w:t xml:space="preserve"> hrs</w:t>
      </w:r>
    </w:p>
    <w:p w:rsidR="00DD69C7" w:rsidRPr="00DD69C7" w:rsidRDefault="00DD69C7" w:rsidP="00DD69C7">
      <w:pPr>
        <w:pStyle w:val="Heading1"/>
        <w:ind w:left="0"/>
        <w:rPr>
          <w:b w:val="0"/>
        </w:rPr>
      </w:pPr>
      <w:r w:rsidRPr="00DD69C7">
        <w:rPr>
          <w:b w:val="0"/>
        </w:rPr>
        <w:t>The construction site is a rapidly evolving work place with a constant need for safety awareness.  Knowing the construction codes and regulations, or at least where to find them, is an important part of this awareness.  Developing the ability to spot the hidden dangers lurking around the construction site is equally as important and seldom taught.  In this class we will explore a variety of subjects related to the modern construction site and help the student to sharpen their eyes and see the hidden dangers. </w:t>
      </w:r>
    </w:p>
    <w:p w:rsidR="00DD69C7" w:rsidRDefault="00DD69C7" w:rsidP="00DD69C7">
      <w:pPr>
        <w:pStyle w:val="Heading1"/>
        <w:ind w:left="0"/>
        <w:rPr>
          <w:b w:val="0"/>
        </w:rPr>
      </w:pPr>
      <w:r>
        <w:rPr>
          <w:b w:val="0"/>
        </w:rPr>
        <w:t>SAFE</w:t>
      </w:r>
      <w:r w:rsidRPr="00EA689B">
        <w:rPr>
          <w:b w:val="0"/>
        </w:rPr>
        <w:t>-</w:t>
      </w:r>
      <w:r w:rsidR="00050518">
        <w:rPr>
          <w:b w:val="0"/>
        </w:rPr>
        <w:t>0580-</w:t>
      </w:r>
      <w:r w:rsidRPr="00EA689B">
        <w:rPr>
          <w:b w:val="0"/>
        </w:rPr>
        <w:t>OSHT-1071-</w:t>
      </w:r>
      <w:r w:rsidR="00050518">
        <w:rPr>
          <w:b w:val="0"/>
        </w:rPr>
        <w:t>115</w:t>
      </w:r>
      <w:r w:rsidR="00BA2B1B">
        <w:rPr>
          <w:b w:val="0"/>
        </w:rPr>
        <w:t>CL</w:t>
      </w:r>
      <w:r w:rsidR="00BA2B1B">
        <w:rPr>
          <w:b w:val="0"/>
        </w:rPr>
        <w:tab/>
        <w:t>06/29</w:t>
      </w:r>
      <w:r>
        <w:rPr>
          <w:b w:val="0"/>
        </w:rPr>
        <w:t>/18</w:t>
      </w:r>
      <w:r>
        <w:rPr>
          <w:b w:val="0"/>
        </w:rPr>
        <w:tab/>
        <w:t>GCSI Rm 112</w:t>
      </w:r>
      <w:r w:rsidRPr="00EA689B">
        <w:rPr>
          <w:b w:val="0"/>
        </w:rPr>
        <w:tab/>
      </w:r>
      <w:r w:rsidRPr="00EA689B">
        <w:rPr>
          <w:b w:val="0"/>
        </w:rPr>
        <w:tab/>
      </w:r>
      <w:r>
        <w:rPr>
          <w:b w:val="0"/>
        </w:rPr>
        <w:t>N. Stuart</w:t>
      </w:r>
    </w:p>
    <w:p w:rsidR="002B2C72" w:rsidRDefault="002B2C72" w:rsidP="000E4D6E">
      <w:pPr>
        <w:pStyle w:val="Heading1"/>
        <w:ind w:left="0"/>
      </w:pPr>
    </w:p>
    <w:p w:rsidR="000E4D6E" w:rsidRDefault="009A1AB7" w:rsidP="000E4D6E">
      <w:pPr>
        <w:pStyle w:val="Heading1"/>
        <w:ind w:left="0"/>
      </w:pPr>
      <w:r>
        <w:t>How to Create and Manage an Effective Back to Work Program</w:t>
      </w:r>
      <w:r w:rsidR="000E4D6E" w:rsidRPr="000E4D6E">
        <w:t xml:space="preserve"> – 8 hrs </w:t>
      </w:r>
    </w:p>
    <w:p w:rsidR="009A1AB7" w:rsidRDefault="009A1AB7" w:rsidP="000E4D6E">
      <w:pPr>
        <w:pStyle w:val="Heading1"/>
        <w:ind w:left="0"/>
        <w:rPr>
          <w:b w:val="0"/>
        </w:rPr>
      </w:pPr>
      <w:r w:rsidRPr="009A1AB7">
        <w:rPr>
          <w:b w:val="0"/>
        </w:rPr>
        <w:t xml:space="preserve">Return-to-work programs have traditionally been used to solely reduce </w:t>
      </w:r>
      <w:r w:rsidR="000D728D" w:rsidRPr="009A1AB7">
        <w:rPr>
          <w:b w:val="0"/>
        </w:rPr>
        <w:t>worker’s</w:t>
      </w:r>
      <w:r w:rsidRPr="009A1AB7">
        <w:rPr>
          <w:b w:val="0"/>
        </w:rPr>
        <w:t xml:space="preserve"> compensation costs. However, return to work programs offer additional benefits such as an improvement in productivity, a boost in employee morale and the prevention of costly turnover within an organization. This course will focus on building effective return-to-work and transitional duty programs.</w:t>
      </w:r>
    </w:p>
    <w:p w:rsidR="0092210D" w:rsidRDefault="009A1AB7" w:rsidP="000E4D6E">
      <w:pPr>
        <w:pStyle w:val="Heading1"/>
        <w:ind w:left="0"/>
        <w:rPr>
          <w:b w:val="0"/>
        </w:rPr>
      </w:pPr>
      <w:r>
        <w:rPr>
          <w:b w:val="0"/>
        </w:rPr>
        <w:t>SAFE</w:t>
      </w:r>
      <w:r w:rsidR="00EA689B" w:rsidRPr="00EA689B">
        <w:rPr>
          <w:b w:val="0"/>
        </w:rPr>
        <w:t>-</w:t>
      </w:r>
      <w:r w:rsidR="00050518">
        <w:rPr>
          <w:b w:val="0"/>
        </w:rPr>
        <w:t>0528-</w:t>
      </w:r>
      <w:r w:rsidR="00EA689B" w:rsidRPr="00EA689B">
        <w:rPr>
          <w:b w:val="0"/>
        </w:rPr>
        <w:t>OSHT-1071-1</w:t>
      </w:r>
      <w:r w:rsidR="00050518">
        <w:rPr>
          <w:b w:val="0"/>
        </w:rPr>
        <w:t>10</w:t>
      </w:r>
      <w:r w:rsidR="00EA689B" w:rsidRPr="00EA689B">
        <w:rPr>
          <w:b w:val="0"/>
        </w:rPr>
        <w:t>CL</w:t>
      </w:r>
      <w:r w:rsidR="00EA689B" w:rsidRPr="00EA689B">
        <w:rPr>
          <w:b w:val="0"/>
        </w:rPr>
        <w:tab/>
      </w:r>
      <w:r>
        <w:rPr>
          <w:b w:val="0"/>
        </w:rPr>
        <w:t>07/</w:t>
      </w:r>
      <w:r w:rsidR="00DD69C7">
        <w:rPr>
          <w:b w:val="0"/>
        </w:rPr>
        <w:t>13</w:t>
      </w:r>
      <w:r w:rsidR="00A5498D">
        <w:rPr>
          <w:b w:val="0"/>
        </w:rPr>
        <w:t>/18</w:t>
      </w:r>
      <w:r w:rsidR="00A5498D">
        <w:rPr>
          <w:b w:val="0"/>
        </w:rPr>
        <w:tab/>
        <w:t>GCSI Rm 112</w:t>
      </w:r>
      <w:r w:rsidR="00EA689B" w:rsidRPr="00EA689B">
        <w:rPr>
          <w:b w:val="0"/>
        </w:rPr>
        <w:tab/>
      </w:r>
      <w:r w:rsidR="00EA689B" w:rsidRPr="00EA689B">
        <w:rPr>
          <w:b w:val="0"/>
        </w:rPr>
        <w:tab/>
      </w:r>
      <w:r>
        <w:rPr>
          <w:b w:val="0"/>
        </w:rPr>
        <w:t>P. Sandesara</w:t>
      </w:r>
    </w:p>
    <w:p w:rsidR="00DD69C7" w:rsidRDefault="00DD69C7" w:rsidP="000E4D6E">
      <w:pPr>
        <w:pStyle w:val="Heading1"/>
        <w:ind w:left="0"/>
        <w:rPr>
          <w:b w:val="0"/>
        </w:rPr>
      </w:pPr>
    </w:p>
    <w:p w:rsidR="00DD69C7" w:rsidRDefault="00DD69C7" w:rsidP="000E4D6E">
      <w:pPr>
        <w:pStyle w:val="Heading1"/>
        <w:ind w:left="0"/>
      </w:pPr>
    </w:p>
    <w:p w:rsidR="00DD69C7" w:rsidRDefault="00DD69C7" w:rsidP="000E4D6E">
      <w:pPr>
        <w:pStyle w:val="Heading1"/>
        <w:ind w:left="0"/>
      </w:pPr>
    </w:p>
    <w:p w:rsidR="00DD69C7" w:rsidRDefault="00DD69C7" w:rsidP="000E4D6E">
      <w:pPr>
        <w:pStyle w:val="Heading1"/>
        <w:ind w:left="0"/>
      </w:pPr>
    </w:p>
    <w:p w:rsidR="00DD69C7" w:rsidRDefault="00DD69C7" w:rsidP="000E4D6E">
      <w:pPr>
        <w:pStyle w:val="Heading1"/>
        <w:ind w:left="0"/>
      </w:pPr>
    </w:p>
    <w:p w:rsidR="00DD69C7" w:rsidRDefault="00DD69C7" w:rsidP="000E4D6E">
      <w:pPr>
        <w:pStyle w:val="Heading1"/>
        <w:ind w:left="0"/>
      </w:pPr>
    </w:p>
    <w:p w:rsidR="00DD69C7" w:rsidRDefault="00DD69C7" w:rsidP="000E4D6E">
      <w:pPr>
        <w:pStyle w:val="Heading1"/>
        <w:ind w:left="0"/>
      </w:pPr>
    </w:p>
    <w:p w:rsidR="00DD69C7" w:rsidRDefault="00DD69C7" w:rsidP="000E4D6E">
      <w:pPr>
        <w:pStyle w:val="Heading1"/>
        <w:ind w:left="0"/>
      </w:pPr>
    </w:p>
    <w:p w:rsidR="00DD69C7" w:rsidRPr="00DD69C7" w:rsidRDefault="00DD69C7" w:rsidP="000E4D6E">
      <w:pPr>
        <w:pStyle w:val="Heading1"/>
        <w:ind w:left="0"/>
      </w:pPr>
      <w:r w:rsidRPr="00DD69C7">
        <w:t>What’s New in Walking Working Surfaces</w:t>
      </w:r>
      <w:r>
        <w:t xml:space="preserve"> – 8 hrs</w:t>
      </w:r>
    </w:p>
    <w:p w:rsidR="00DD69C7" w:rsidRDefault="00DD69C7" w:rsidP="000E4D6E">
      <w:pPr>
        <w:pStyle w:val="Heading1"/>
        <w:ind w:left="0"/>
        <w:rPr>
          <w:b w:val="0"/>
        </w:rPr>
      </w:pPr>
      <w:r w:rsidRPr="00DD69C7">
        <w:rPr>
          <w:b w:val="0"/>
        </w:rPr>
        <w:t>Slips, trips, and falls constitute the majority of general industry accidents. They cause 15% of all accidental deaths, and are second only to motor vehicles as a cause of fatalities. The updated OSHA standards for walking and working surfaces apply to all permanent places of employment, except where only domestic, mining, or agricultural work is performed.  Upon completion of the lesson, participants will be able to; define the terms: floor hole, floor opening, wall opening, standard railing, and standard toe board, discuss requirements to consider in order to avoid walking/working surface hazards, and follow recommended practices for using ladders and scaffolds.</w:t>
      </w:r>
    </w:p>
    <w:p w:rsidR="00DD69C7" w:rsidRDefault="00DD69C7" w:rsidP="00DD69C7">
      <w:pPr>
        <w:pStyle w:val="Heading1"/>
        <w:ind w:left="0"/>
        <w:rPr>
          <w:b w:val="0"/>
        </w:rPr>
      </w:pPr>
      <w:r>
        <w:rPr>
          <w:b w:val="0"/>
        </w:rPr>
        <w:t>SAFE</w:t>
      </w:r>
      <w:r w:rsidRPr="00EA689B">
        <w:rPr>
          <w:b w:val="0"/>
        </w:rPr>
        <w:t>-</w:t>
      </w:r>
      <w:r w:rsidR="00050518">
        <w:rPr>
          <w:b w:val="0"/>
        </w:rPr>
        <w:t>0529-</w:t>
      </w:r>
      <w:r w:rsidRPr="00EA689B">
        <w:rPr>
          <w:b w:val="0"/>
        </w:rPr>
        <w:t>OSHT-1071-1</w:t>
      </w:r>
      <w:r w:rsidR="00050518">
        <w:rPr>
          <w:b w:val="0"/>
        </w:rPr>
        <w:t>11</w:t>
      </w:r>
      <w:r w:rsidRPr="00EA689B">
        <w:rPr>
          <w:b w:val="0"/>
        </w:rPr>
        <w:t>CL</w:t>
      </w:r>
      <w:r w:rsidRPr="00EA689B">
        <w:rPr>
          <w:b w:val="0"/>
        </w:rPr>
        <w:tab/>
      </w:r>
      <w:r>
        <w:rPr>
          <w:b w:val="0"/>
        </w:rPr>
        <w:t>07/27/18</w:t>
      </w:r>
      <w:r>
        <w:rPr>
          <w:b w:val="0"/>
        </w:rPr>
        <w:tab/>
        <w:t>GCSI Rm 112</w:t>
      </w:r>
      <w:r w:rsidRPr="00EA689B">
        <w:rPr>
          <w:b w:val="0"/>
        </w:rPr>
        <w:tab/>
      </w:r>
      <w:r w:rsidRPr="00EA689B">
        <w:rPr>
          <w:b w:val="0"/>
        </w:rPr>
        <w:tab/>
      </w:r>
      <w:r>
        <w:rPr>
          <w:b w:val="0"/>
        </w:rPr>
        <w:t>S. Roberson</w:t>
      </w:r>
    </w:p>
    <w:p w:rsidR="00DD69C7" w:rsidRDefault="00DD69C7" w:rsidP="00684E71">
      <w:pPr>
        <w:pStyle w:val="Heading1"/>
        <w:ind w:left="0"/>
      </w:pPr>
    </w:p>
    <w:p w:rsidR="00684E71" w:rsidRPr="00684E71" w:rsidRDefault="009A1AB7" w:rsidP="00684E71">
      <w:pPr>
        <w:pStyle w:val="Heading1"/>
        <w:ind w:left="0"/>
      </w:pPr>
      <w:r>
        <w:t>Process Safety Management of Highly Hazardous &amp; Explosive Chemicals</w:t>
      </w:r>
      <w:r w:rsidR="00FC67C8" w:rsidRPr="000E4D6E">
        <w:t xml:space="preserve"> </w:t>
      </w:r>
      <w:r w:rsidR="00684E71" w:rsidRPr="00684E71">
        <w:t xml:space="preserve">– 8 hrs </w:t>
      </w:r>
    </w:p>
    <w:p w:rsidR="009A1AB7" w:rsidRDefault="009A1AB7" w:rsidP="00635237">
      <w:pPr>
        <w:pStyle w:val="Heading1"/>
        <w:ind w:left="0"/>
        <w:rPr>
          <w:b w:val="0"/>
        </w:rPr>
      </w:pPr>
      <w:r w:rsidRPr="009A1AB7">
        <w:rPr>
          <w:b w:val="0"/>
        </w:rPr>
        <w:t xml:space="preserve">This course will review the history of process safety management (PSM), the importance of PSM and regulatory implications in the United States.  Each of the 14 elements will be discussed and examples of compliance provided.  The objective of this course is to provide participants with a working </w:t>
      </w:r>
      <w:r w:rsidRPr="009A1AB7">
        <w:rPr>
          <w:b w:val="0"/>
        </w:rPr>
        <w:lastRenderedPageBreak/>
        <w:t>knowledge of the PSM framework and some tools to help overcome challenges associated with managing a PSM program.</w:t>
      </w:r>
    </w:p>
    <w:p w:rsidR="009A1AB7" w:rsidRPr="00DD69C7" w:rsidRDefault="009A1AB7" w:rsidP="00635237">
      <w:pPr>
        <w:pStyle w:val="Heading1"/>
        <w:ind w:left="0"/>
        <w:rPr>
          <w:b w:val="0"/>
        </w:rPr>
      </w:pPr>
      <w:r>
        <w:rPr>
          <w:b w:val="0"/>
        </w:rPr>
        <w:t>SAFE-</w:t>
      </w:r>
      <w:r w:rsidR="00050518">
        <w:rPr>
          <w:b w:val="0"/>
        </w:rPr>
        <w:t>0530-OSHT-1071-112</w:t>
      </w:r>
      <w:r>
        <w:rPr>
          <w:b w:val="0"/>
        </w:rPr>
        <w:t xml:space="preserve">CL </w:t>
      </w:r>
      <w:r>
        <w:rPr>
          <w:b w:val="0"/>
        </w:rPr>
        <w:tab/>
      </w:r>
      <w:r w:rsidR="00DD69C7">
        <w:rPr>
          <w:b w:val="0"/>
        </w:rPr>
        <w:t>08/10</w:t>
      </w:r>
      <w:r w:rsidR="00635237">
        <w:rPr>
          <w:b w:val="0"/>
        </w:rPr>
        <w:t>/18</w:t>
      </w:r>
      <w:r w:rsidR="00635237">
        <w:rPr>
          <w:b w:val="0"/>
        </w:rPr>
        <w:tab/>
        <w:t>GCSI Rm 112</w:t>
      </w:r>
      <w:r>
        <w:rPr>
          <w:b w:val="0"/>
        </w:rPr>
        <w:tab/>
      </w:r>
      <w:r>
        <w:rPr>
          <w:b w:val="0"/>
        </w:rPr>
        <w:tab/>
        <w:t>S. Jackson</w:t>
      </w:r>
    </w:p>
    <w:p w:rsidR="009A1AB7" w:rsidRDefault="009A1AB7" w:rsidP="00635237">
      <w:pPr>
        <w:pStyle w:val="Heading1"/>
        <w:ind w:left="0"/>
      </w:pPr>
    </w:p>
    <w:p w:rsidR="00635237" w:rsidRPr="00684E71" w:rsidRDefault="009A1AB7" w:rsidP="00635237">
      <w:pPr>
        <w:pStyle w:val="Heading1"/>
        <w:ind w:left="0"/>
      </w:pPr>
      <w:r>
        <w:t>Fundamentals of Risk Management</w:t>
      </w:r>
      <w:r w:rsidR="00635237" w:rsidRPr="00684E71">
        <w:t xml:space="preserve"> – 8 hrs </w:t>
      </w:r>
    </w:p>
    <w:p w:rsidR="00635237" w:rsidRDefault="009A1AB7" w:rsidP="00635237">
      <w:pPr>
        <w:pStyle w:val="Heading1"/>
        <w:ind w:left="0"/>
        <w:rPr>
          <w:b w:val="0"/>
        </w:rPr>
      </w:pPr>
      <w:r w:rsidRPr="009A1AB7">
        <w:rPr>
          <w:b w:val="0"/>
        </w:rPr>
        <w:t xml:space="preserve">Risk management is a key component of a successful safety management system. It is required to assess the risks associated with identified hazards. Risk management techniques are used to develop and implement effective mitigation of hazards.  In this course, we will learn how to; improve operational safety by correctly identifying hazards, review safety risk management processes, develop and utilize risk management techniques, eliminate or minimize risk; discuss how behavior influences risk vs. </w:t>
      </w:r>
      <w:r w:rsidR="000D728D" w:rsidRPr="009A1AB7">
        <w:rPr>
          <w:b w:val="0"/>
        </w:rPr>
        <w:t>rewards.</w:t>
      </w:r>
    </w:p>
    <w:p w:rsidR="00635237" w:rsidRDefault="009A1AB7" w:rsidP="00635237">
      <w:pPr>
        <w:pStyle w:val="Heading1"/>
        <w:ind w:left="0"/>
        <w:rPr>
          <w:b w:val="0"/>
        </w:rPr>
      </w:pPr>
      <w:r>
        <w:rPr>
          <w:b w:val="0"/>
        </w:rPr>
        <w:t>SAFE-</w:t>
      </w:r>
      <w:r w:rsidR="00050518">
        <w:rPr>
          <w:b w:val="0"/>
        </w:rPr>
        <w:t>0531-</w:t>
      </w:r>
      <w:r w:rsidR="00BA2B1B">
        <w:rPr>
          <w:b w:val="0"/>
        </w:rPr>
        <w:t>OSHT-</w:t>
      </w:r>
      <w:r w:rsidR="00050518">
        <w:rPr>
          <w:b w:val="0"/>
        </w:rPr>
        <w:t>1071-113CL</w:t>
      </w:r>
      <w:r w:rsidR="00050518">
        <w:rPr>
          <w:b w:val="0"/>
        </w:rPr>
        <w:tab/>
      </w:r>
      <w:r w:rsidR="00BA2B1B">
        <w:rPr>
          <w:b w:val="0"/>
        </w:rPr>
        <w:t>08</w:t>
      </w:r>
      <w:r w:rsidR="00DD69C7">
        <w:rPr>
          <w:b w:val="0"/>
        </w:rPr>
        <w:t>/24</w:t>
      </w:r>
      <w:r w:rsidR="00635237">
        <w:rPr>
          <w:b w:val="0"/>
        </w:rPr>
        <w:t>/18</w:t>
      </w:r>
      <w:r w:rsidR="00635237">
        <w:rPr>
          <w:b w:val="0"/>
        </w:rPr>
        <w:tab/>
        <w:t>GCSI Rm 112</w:t>
      </w:r>
      <w:r w:rsidR="00635237" w:rsidRPr="00684E71">
        <w:rPr>
          <w:b w:val="0"/>
        </w:rPr>
        <w:tab/>
      </w:r>
      <w:r w:rsidR="00635237" w:rsidRPr="00684E71">
        <w:rPr>
          <w:b w:val="0"/>
        </w:rPr>
        <w:tab/>
      </w:r>
      <w:r>
        <w:rPr>
          <w:b w:val="0"/>
        </w:rPr>
        <w:t>C. Dillon</w:t>
      </w: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35237" w:rsidRDefault="00635237" w:rsidP="00635237">
      <w:pPr>
        <w:pStyle w:val="Heading1"/>
        <w:ind w:left="0"/>
        <w:rPr>
          <w:b w:val="0"/>
        </w:rPr>
      </w:pPr>
    </w:p>
    <w:p w:rsidR="00575298" w:rsidRDefault="00575298" w:rsidP="00635237">
      <w:pPr>
        <w:pStyle w:val="Heading1"/>
        <w:ind w:left="0"/>
        <w:rPr>
          <w:b w:val="0"/>
        </w:rPr>
      </w:pP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89" w:rsidRDefault="00237C89" w:rsidP="00B27C3D">
      <w:r>
        <w:separator/>
      </w:r>
    </w:p>
  </w:endnote>
  <w:endnote w:type="continuationSeparator" w:id="0">
    <w:p w:rsidR="00237C89" w:rsidRDefault="00237C89"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89" w:rsidRDefault="00237C89" w:rsidP="00B27C3D">
      <w:r>
        <w:separator/>
      </w:r>
    </w:p>
  </w:footnote>
  <w:footnote w:type="continuationSeparator" w:id="0">
    <w:p w:rsidR="00237C89" w:rsidRDefault="00237C89"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15832"/>
    <w:rsid w:val="00025FCA"/>
    <w:rsid w:val="000420D7"/>
    <w:rsid w:val="00050518"/>
    <w:rsid w:val="0006696F"/>
    <w:rsid w:val="000C3652"/>
    <w:rsid w:val="000D561C"/>
    <w:rsid w:val="000D728D"/>
    <w:rsid w:val="000E4D6E"/>
    <w:rsid w:val="00153EFC"/>
    <w:rsid w:val="001B7635"/>
    <w:rsid w:val="001F7E76"/>
    <w:rsid w:val="00237C89"/>
    <w:rsid w:val="00257E74"/>
    <w:rsid w:val="00274955"/>
    <w:rsid w:val="00275EA8"/>
    <w:rsid w:val="002A0174"/>
    <w:rsid w:val="002B2C72"/>
    <w:rsid w:val="002F5116"/>
    <w:rsid w:val="00327201"/>
    <w:rsid w:val="0038009C"/>
    <w:rsid w:val="003A4B63"/>
    <w:rsid w:val="003F74E2"/>
    <w:rsid w:val="00441AE7"/>
    <w:rsid w:val="004621F9"/>
    <w:rsid w:val="004D52EC"/>
    <w:rsid w:val="00557772"/>
    <w:rsid w:val="00575298"/>
    <w:rsid w:val="005B2432"/>
    <w:rsid w:val="005D5683"/>
    <w:rsid w:val="0061157F"/>
    <w:rsid w:val="0063327C"/>
    <w:rsid w:val="00635237"/>
    <w:rsid w:val="00684E71"/>
    <w:rsid w:val="006B3EA0"/>
    <w:rsid w:val="006B3FA3"/>
    <w:rsid w:val="0070437A"/>
    <w:rsid w:val="007268E5"/>
    <w:rsid w:val="0073133C"/>
    <w:rsid w:val="00743D60"/>
    <w:rsid w:val="007A2736"/>
    <w:rsid w:val="007E1DBD"/>
    <w:rsid w:val="008868A0"/>
    <w:rsid w:val="008A2338"/>
    <w:rsid w:val="008E07EC"/>
    <w:rsid w:val="008F161F"/>
    <w:rsid w:val="009101D6"/>
    <w:rsid w:val="0092210D"/>
    <w:rsid w:val="0094620B"/>
    <w:rsid w:val="00990F46"/>
    <w:rsid w:val="009A1AB7"/>
    <w:rsid w:val="009B2347"/>
    <w:rsid w:val="009D2648"/>
    <w:rsid w:val="009E56A3"/>
    <w:rsid w:val="00A3627B"/>
    <w:rsid w:val="00A5498D"/>
    <w:rsid w:val="00A6415F"/>
    <w:rsid w:val="00AC62C4"/>
    <w:rsid w:val="00AD48AD"/>
    <w:rsid w:val="00AE2D62"/>
    <w:rsid w:val="00B202AA"/>
    <w:rsid w:val="00B20780"/>
    <w:rsid w:val="00B27C3D"/>
    <w:rsid w:val="00B33B03"/>
    <w:rsid w:val="00B950A8"/>
    <w:rsid w:val="00BA2B1B"/>
    <w:rsid w:val="00C66157"/>
    <w:rsid w:val="00C97BF9"/>
    <w:rsid w:val="00CA7938"/>
    <w:rsid w:val="00CD735A"/>
    <w:rsid w:val="00CE615C"/>
    <w:rsid w:val="00D45013"/>
    <w:rsid w:val="00DD11D3"/>
    <w:rsid w:val="00DD5DF5"/>
    <w:rsid w:val="00DD69C7"/>
    <w:rsid w:val="00DE1E0A"/>
    <w:rsid w:val="00EA689B"/>
    <w:rsid w:val="00ED11BF"/>
    <w:rsid w:val="00F20DCB"/>
    <w:rsid w:val="00F412FF"/>
    <w:rsid w:val="00F612DD"/>
    <w:rsid w:val="00F647BD"/>
    <w:rsid w:val="00F91AFB"/>
    <w:rsid w:val="00F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Delfin, Sophia</cp:lastModifiedBy>
  <cp:revision>2</cp:revision>
  <cp:lastPrinted>2017-06-13T19:06:00Z</cp:lastPrinted>
  <dcterms:created xsi:type="dcterms:W3CDTF">2018-03-23T17:55:00Z</dcterms:created>
  <dcterms:modified xsi:type="dcterms:W3CDTF">2018-03-23T17:55:00Z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ies>
</file>