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A0" w:rsidRDefault="006B3EA0">
      <w:pPr>
        <w:spacing w:before="9"/>
        <w:rPr>
          <w:rFonts w:ascii="Times New Roman" w:eastAsia="Times New Roman" w:hAnsi="Times New Roman" w:cs="Times New Roman"/>
          <w:sz w:val="7"/>
          <w:szCs w:val="7"/>
        </w:rPr>
      </w:pPr>
    </w:p>
    <w:p w:rsidR="006B3EA0" w:rsidRDefault="003A4B63">
      <w:pPr>
        <w:tabs>
          <w:tab w:val="left" w:pos="4960"/>
        </w:tabs>
        <w:spacing w:line="200" w:lineRule="atLeast"/>
        <w:ind w:left="256"/>
        <w:rPr>
          <w:rFonts w:ascii="Times New Roman" w:eastAsia="Times New Roman" w:hAnsi="Times New Roman" w:cs="Times New Roman"/>
          <w:sz w:val="20"/>
          <w:szCs w:val="20"/>
        </w:rPr>
      </w:pPr>
      <w:r>
        <w:rPr>
          <w:rFonts w:ascii="Times New Roman"/>
          <w:noProof/>
          <w:sz w:val="20"/>
        </w:rPr>
        <w:drawing>
          <wp:inline distT="0" distB="0" distL="0" distR="0">
            <wp:extent cx="1995371" cy="1158240"/>
            <wp:effectExtent l="0" t="0" r="508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04151" cy="1163336"/>
                    </a:xfrm>
                    <a:prstGeom prst="rect">
                      <a:avLst/>
                    </a:prstGeom>
                  </pic:spPr>
                </pic:pic>
              </a:graphicData>
            </a:graphic>
          </wp:inline>
        </w:drawing>
      </w:r>
      <w:r>
        <w:rPr>
          <w:rFonts w:ascii="Times New Roman"/>
          <w:sz w:val="20"/>
        </w:rPr>
        <w:tab/>
      </w:r>
      <w:r>
        <w:rPr>
          <w:rFonts w:ascii="Times New Roman"/>
          <w:noProof/>
          <w:position w:val="2"/>
          <w:sz w:val="20"/>
        </w:rPr>
        <w:drawing>
          <wp:inline distT="0" distB="0" distL="0" distR="0">
            <wp:extent cx="3214370" cy="945057"/>
            <wp:effectExtent l="0" t="0" r="5080" b="762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227358" cy="948876"/>
                    </a:xfrm>
                    <a:prstGeom prst="rect">
                      <a:avLst/>
                    </a:prstGeom>
                  </pic:spPr>
                </pic:pic>
              </a:graphicData>
            </a:graphic>
          </wp:inline>
        </w:drawing>
      </w:r>
    </w:p>
    <w:p w:rsidR="006B3EA0" w:rsidRDefault="006B3EA0">
      <w:pPr>
        <w:spacing w:before="5"/>
        <w:rPr>
          <w:rFonts w:ascii="Times New Roman" w:eastAsia="Times New Roman" w:hAnsi="Times New Roman" w:cs="Times New Roman"/>
          <w:sz w:val="24"/>
          <w:szCs w:val="24"/>
        </w:rPr>
      </w:pPr>
    </w:p>
    <w:p w:rsidR="006B3EA0" w:rsidRDefault="003A4B63">
      <w:pPr>
        <w:spacing w:line="670" w:lineRule="exact"/>
        <w:ind w:left="2247" w:right="1948"/>
        <w:jc w:val="center"/>
        <w:rPr>
          <w:rFonts w:ascii="Calibri" w:eastAsia="Calibri" w:hAnsi="Calibri" w:cs="Calibri"/>
          <w:sz w:val="56"/>
          <w:szCs w:val="56"/>
        </w:rPr>
      </w:pPr>
      <w:r>
        <w:rPr>
          <w:rFonts w:ascii="Calibri"/>
          <w:spacing w:val="-1"/>
          <w:sz w:val="56"/>
        </w:rPr>
        <w:t>Center</w:t>
      </w:r>
      <w:r>
        <w:rPr>
          <w:rFonts w:ascii="Calibri"/>
          <w:spacing w:val="-63"/>
          <w:sz w:val="56"/>
        </w:rPr>
        <w:t xml:space="preserve"> </w:t>
      </w:r>
      <w:r>
        <w:rPr>
          <w:rFonts w:ascii="Calibri"/>
          <w:spacing w:val="-1"/>
          <w:sz w:val="56"/>
        </w:rPr>
        <w:t>for</w:t>
      </w:r>
      <w:r>
        <w:rPr>
          <w:rFonts w:ascii="Calibri"/>
          <w:spacing w:val="-63"/>
          <w:sz w:val="56"/>
        </w:rPr>
        <w:t xml:space="preserve"> </w:t>
      </w:r>
      <w:r>
        <w:rPr>
          <w:rFonts w:ascii="Calibri"/>
          <w:spacing w:val="-1"/>
          <w:sz w:val="56"/>
        </w:rPr>
        <w:t>Risk</w:t>
      </w:r>
      <w:r>
        <w:rPr>
          <w:rFonts w:ascii="Calibri"/>
          <w:spacing w:val="-47"/>
          <w:sz w:val="56"/>
        </w:rPr>
        <w:t xml:space="preserve"> </w:t>
      </w:r>
      <w:r>
        <w:rPr>
          <w:rFonts w:ascii="Calibri"/>
          <w:spacing w:val="-1"/>
          <w:sz w:val="56"/>
        </w:rPr>
        <w:t>Management</w:t>
      </w:r>
    </w:p>
    <w:p w:rsidR="006B3EA0" w:rsidRDefault="00C66157">
      <w:pPr>
        <w:spacing w:before="73"/>
        <w:ind w:left="2179" w:right="1948"/>
        <w:jc w:val="center"/>
        <w:rPr>
          <w:rFonts w:ascii="Calibri" w:eastAsia="Calibri" w:hAnsi="Calibri" w:cs="Calibri"/>
          <w:sz w:val="36"/>
          <w:szCs w:val="36"/>
        </w:rPr>
      </w:pPr>
      <w:r>
        <w:rPr>
          <w:rFonts w:ascii="Calibri"/>
          <w:spacing w:val="-1"/>
          <w:sz w:val="36"/>
        </w:rPr>
        <w:t>2018</w:t>
      </w:r>
      <w:r w:rsidR="003A4B63">
        <w:rPr>
          <w:rFonts w:ascii="Calibri"/>
          <w:spacing w:val="-22"/>
          <w:sz w:val="36"/>
        </w:rPr>
        <w:t xml:space="preserve"> </w:t>
      </w:r>
      <w:r w:rsidR="00000778">
        <w:rPr>
          <w:rFonts w:ascii="Calibri"/>
          <w:spacing w:val="-22"/>
          <w:sz w:val="36"/>
        </w:rPr>
        <w:t>Fall</w:t>
      </w:r>
      <w:r w:rsidR="000D561C">
        <w:rPr>
          <w:rFonts w:ascii="Calibri"/>
          <w:spacing w:val="-22"/>
          <w:sz w:val="36"/>
        </w:rPr>
        <w:t xml:space="preserve"> </w:t>
      </w:r>
      <w:r w:rsidR="003A4B63">
        <w:rPr>
          <w:rFonts w:ascii="Calibri"/>
          <w:spacing w:val="-3"/>
          <w:sz w:val="36"/>
        </w:rPr>
        <w:t>Course</w:t>
      </w:r>
      <w:r w:rsidR="003A4B63">
        <w:rPr>
          <w:rFonts w:ascii="Calibri"/>
          <w:spacing w:val="-21"/>
          <w:sz w:val="36"/>
        </w:rPr>
        <w:t xml:space="preserve"> </w:t>
      </w:r>
      <w:r w:rsidR="003A4B63">
        <w:rPr>
          <w:rFonts w:ascii="Calibri"/>
          <w:spacing w:val="-3"/>
          <w:sz w:val="36"/>
        </w:rPr>
        <w:t>Schedule</w:t>
      </w:r>
    </w:p>
    <w:p w:rsidR="000E4D6E" w:rsidRPr="00275EA8" w:rsidRDefault="003A4B63" w:rsidP="00275EA8">
      <w:pPr>
        <w:pStyle w:val="BodyText"/>
        <w:spacing w:before="247" w:line="241" w:lineRule="auto"/>
        <w:ind w:left="0" w:right="405"/>
        <w:rPr>
          <w:spacing w:val="2"/>
        </w:rPr>
      </w:pPr>
      <w:r>
        <w:rPr>
          <w:spacing w:val="-2"/>
        </w:rPr>
        <w:t>The Center</w:t>
      </w:r>
      <w:r>
        <w:rPr>
          <w:spacing w:val="-4"/>
        </w:rPr>
        <w:t xml:space="preserve"> </w:t>
      </w:r>
      <w:r>
        <w:rPr>
          <w:spacing w:val="-1"/>
        </w:rPr>
        <w:t>for</w:t>
      </w:r>
      <w:r>
        <w:rPr>
          <w:spacing w:val="1"/>
        </w:rPr>
        <w:t xml:space="preserve"> </w:t>
      </w:r>
      <w:r>
        <w:rPr>
          <w:spacing w:val="-2"/>
        </w:rPr>
        <w:t>Risk</w:t>
      </w:r>
      <w:r>
        <w:rPr>
          <w:spacing w:val="-8"/>
        </w:rPr>
        <w:t xml:space="preserve"> </w:t>
      </w:r>
      <w:r>
        <w:rPr>
          <w:spacing w:val="-3"/>
        </w:rPr>
        <w:t>Management</w:t>
      </w:r>
      <w:r>
        <w:rPr>
          <w:spacing w:val="-4"/>
        </w:rPr>
        <w:t xml:space="preserve"> </w:t>
      </w:r>
      <w:r>
        <w:rPr>
          <w:spacing w:val="-1"/>
        </w:rPr>
        <w:t>safety</w:t>
      </w:r>
      <w:r>
        <w:rPr>
          <w:spacing w:val="-12"/>
        </w:rPr>
        <w:t xml:space="preserve"> </w:t>
      </w:r>
      <w:r>
        <w:rPr>
          <w:spacing w:val="-2"/>
        </w:rPr>
        <w:t>training</w:t>
      </w:r>
      <w:r>
        <w:rPr>
          <w:spacing w:val="-8"/>
        </w:rPr>
        <w:t xml:space="preserve"> </w:t>
      </w:r>
      <w:r>
        <w:rPr>
          <w:spacing w:val="-3"/>
        </w:rPr>
        <w:t>classes</w:t>
      </w:r>
      <w:r>
        <w:rPr>
          <w:spacing w:val="-2"/>
        </w:rPr>
        <w:t xml:space="preserve"> are </w:t>
      </w:r>
      <w:r>
        <w:rPr>
          <w:spacing w:val="-3"/>
        </w:rPr>
        <w:t>offered</w:t>
      </w:r>
      <w:r>
        <w:t xml:space="preserve"> </w:t>
      </w:r>
      <w:r>
        <w:rPr>
          <w:spacing w:val="-2"/>
        </w:rPr>
        <w:t>FREE</w:t>
      </w:r>
      <w:r>
        <w:rPr>
          <w:spacing w:val="-6"/>
        </w:rPr>
        <w:t xml:space="preserve"> </w:t>
      </w:r>
      <w:r>
        <w:rPr>
          <w:spacing w:val="-1"/>
        </w:rPr>
        <w:t>to</w:t>
      </w:r>
      <w:r>
        <w:rPr>
          <w:spacing w:val="-5"/>
        </w:rPr>
        <w:t xml:space="preserve"> </w:t>
      </w:r>
      <w:r>
        <w:rPr>
          <w:spacing w:val="-1"/>
        </w:rPr>
        <w:t>the</w:t>
      </w:r>
      <w:r>
        <w:rPr>
          <w:spacing w:val="-5"/>
        </w:rPr>
        <w:t xml:space="preserve"> </w:t>
      </w:r>
      <w:r>
        <w:rPr>
          <w:spacing w:val="-2"/>
        </w:rPr>
        <w:t>public</w:t>
      </w:r>
      <w:r>
        <w:rPr>
          <w:spacing w:val="-5"/>
        </w:rPr>
        <w:t xml:space="preserve"> </w:t>
      </w:r>
      <w:r>
        <w:rPr>
          <w:spacing w:val="-3"/>
        </w:rPr>
        <w:t xml:space="preserve">through </w:t>
      </w:r>
      <w:r>
        <w:t xml:space="preserve">a </w:t>
      </w:r>
      <w:r>
        <w:rPr>
          <w:spacing w:val="-4"/>
        </w:rPr>
        <w:t>generous</w:t>
      </w:r>
      <w:r>
        <w:rPr>
          <w:spacing w:val="-2"/>
        </w:rPr>
        <w:t xml:space="preserve"> </w:t>
      </w:r>
      <w:r>
        <w:rPr>
          <w:spacing w:val="-5"/>
        </w:rPr>
        <w:t>grant</w:t>
      </w:r>
      <w:r w:rsidR="00E60FE0">
        <w:rPr>
          <w:spacing w:val="82"/>
        </w:rPr>
        <w:t xml:space="preserve"> </w:t>
      </w:r>
      <w:r>
        <w:rPr>
          <w:spacing w:val="-1"/>
        </w:rPr>
        <w:t>from</w:t>
      </w:r>
      <w:r>
        <w:rPr>
          <w:spacing w:val="-11"/>
        </w:rPr>
        <w:t xml:space="preserve"> </w:t>
      </w:r>
      <w:r>
        <w:rPr>
          <w:spacing w:val="-1"/>
        </w:rPr>
        <w:t>the</w:t>
      </w:r>
      <w:r>
        <w:rPr>
          <w:spacing w:val="-5"/>
        </w:rPr>
        <w:t xml:space="preserve"> </w:t>
      </w:r>
      <w:r>
        <w:rPr>
          <w:spacing w:val="-3"/>
        </w:rPr>
        <w:t>Texas</w:t>
      </w:r>
      <w:r>
        <w:rPr>
          <w:spacing w:val="5"/>
        </w:rPr>
        <w:t xml:space="preserve"> </w:t>
      </w:r>
      <w:r>
        <w:rPr>
          <w:spacing w:val="-3"/>
        </w:rPr>
        <w:t>Mutual</w:t>
      </w:r>
      <w:r>
        <w:t xml:space="preserve"> </w:t>
      </w:r>
      <w:r w:rsidR="00B202AA">
        <w:rPr>
          <w:spacing w:val="-2"/>
        </w:rPr>
        <w:t>Insurance</w:t>
      </w:r>
      <w:r>
        <w:rPr>
          <w:spacing w:val="-2"/>
        </w:rPr>
        <w:t xml:space="preserve"> </w:t>
      </w:r>
      <w:r>
        <w:rPr>
          <w:spacing w:val="-4"/>
        </w:rPr>
        <w:t>Company.</w:t>
      </w:r>
      <w:r>
        <w:rPr>
          <w:spacing w:val="53"/>
        </w:rPr>
        <w:t xml:space="preserve"> </w:t>
      </w:r>
      <w:r>
        <w:rPr>
          <w:spacing w:val="-2"/>
        </w:rPr>
        <w:t>All</w:t>
      </w:r>
      <w:r>
        <w:rPr>
          <w:spacing w:val="-4"/>
        </w:rPr>
        <w:t xml:space="preserve"> </w:t>
      </w:r>
      <w:r>
        <w:rPr>
          <w:spacing w:val="-2"/>
        </w:rPr>
        <w:t>courses</w:t>
      </w:r>
      <w:r>
        <w:rPr>
          <w:spacing w:val="-5"/>
        </w:rPr>
        <w:t xml:space="preserve"> </w:t>
      </w:r>
      <w:r>
        <w:t>are</w:t>
      </w:r>
      <w:r>
        <w:rPr>
          <w:spacing w:val="-5"/>
        </w:rPr>
        <w:t xml:space="preserve"> </w:t>
      </w:r>
      <w:r>
        <w:rPr>
          <w:spacing w:val="-2"/>
        </w:rPr>
        <w:t>scheduled</w:t>
      </w:r>
      <w:r>
        <w:rPr>
          <w:spacing w:val="-7"/>
        </w:rPr>
        <w:t xml:space="preserve"> </w:t>
      </w:r>
      <w:r w:rsidR="00F20DCB">
        <w:rPr>
          <w:spacing w:val="-7"/>
        </w:rPr>
        <w:t xml:space="preserve">to begin at </w:t>
      </w:r>
      <w:r>
        <w:rPr>
          <w:spacing w:val="-1"/>
        </w:rPr>
        <w:t>8:00</w:t>
      </w:r>
      <w:r>
        <w:rPr>
          <w:spacing w:val="-8"/>
        </w:rPr>
        <w:t xml:space="preserve"> </w:t>
      </w:r>
      <w:r>
        <w:t>am</w:t>
      </w:r>
      <w:r>
        <w:rPr>
          <w:spacing w:val="-11"/>
        </w:rPr>
        <w:t xml:space="preserve"> </w:t>
      </w:r>
      <w:r>
        <w:t>on the</w:t>
      </w:r>
      <w:r>
        <w:rPr>
          <w:spacing w:val="-2"/>
        </w:rPr>
        <w:t xml:space="preserve"> dates</w:t>
      </w:r>
      <w:r w:rsidR="00F20DCB">
        <w:rPr>
          <w:spacing w:val="71"/>
        </w:rPr>
        <w:t xml:space="preserve"> </w:t>
      </w:r>
      <w:r>
        <w:t>listed</w:t>
      </w:r>
      <w:r w:rsidR="00F20DCB">
        <w:t>. Courses are held</w:t>
      </w:r>
      <w:r w:rsidR="009101D6">
        <w:t xml:space="preserve"> at the Gulf </w:t>
      </w:r>
      <w:r w:rsidR="00E60FE0">
        <w:t>Coast Safety Institute facility</w:t>
      </w:r>
      <w:r>
        <w:t>.</w:t>
      </w:r>
      <w:r>
        <w:rPr>
          <w:spacing w:val="38"/>
        </w:rPr>
        <w:t xml:space="preserve"> </w:t>
      </w:r>
      <w:r>
        <w:rPr>
          <w:spacing w:val="-2"/>
        </w:rPr>
        <w:t xml:space="preserve">All </w:t>
      </w:r>
      <w:r>
        <w:rPr>
          <w:spacing w:val="-3"/>
        </w:rPr>
        <w:t>dates</w:t>
      </w:r>
      <w:r>
        <w:rPr>
          <w:spacing w:val="-5"/>
        </w:rPr>
        <w:t xml:space="preserve"> </w:t>
      </w:r>
      <w:r>
        <w:rPr>
          <w:spacing w:val="-1"/>
        </w:rPr>
        <w:t>are</w:t>
      </w:r>
      <w:r>
        <w:t xml:space="preserve"> </w:t>
      </w:r>
      <w:r>
        <w:rPr>
          <w:spacing w:val="-2"/>
        </w:rPr>
        <w:t>on</w:t>
      </w:r>
      <w:r>
        <w:rPr>
          <w:spacing w:val="-3"/>
        </w:rPr>
        <w:t xml:space="preserve"> </w:t>
      </w:r>
      <w:r>
        <w:rPr>
          <w:spacing w:val="-4"/>
        </w:rPr>
        <w:t>Fridays</w:t>
      </w:r>
      <w:r>
        <w:rPr>
          <w:spacing w:val="-2"/>
        </w:rPr>
        <w:t xml:space="preserve"> </w:t>
      </w:r>
      <w:r>
        <w:rPr>
          <w:spacing w:val="-1"/>
        </w:rPr>
        <w:t>during</w:t>
      </w:r>
      <w:r>
        <w:rPr>
          <w:spacing w:val="-5"/>
        </w:rPr>
        <w:t xml:space="preserve"> </w:t>
      </w:r>
      <w:r>
        <w:rPr>
          <w:spacing w:val="-1"/>
        </w:rPr>
        <w:t>the</w:t>
      </w:r>
      <w:r>
        <w:rPr>
          <w:spacing w:val="-5"/>
        </w:rPr>
        <w:t xml:space="preserve"> </w:t>
      </w:r>
      <w:r w:rsidR="00B202AA">
        <w:rPr>
          <w:spacing w:val="-3"/>
        </w:rPr>
        <w:t>calendar</w:t>
      </w:r>
      <w:r w:rsidR="00B202AA">
        <w:t xml:space="preserve"> </w:t>
      </w:r>
      <w:r w:rsidR="00B202AA">
        <w:rPr>
          <w:spacing w:val="3"/>
        </w:rPr>
        <w:t>year</w:t>
      </w:r>
      <w:r w:rsidR="009101D6">
        <w:rPr>
          <w:spacing w:val="3"/>
        </w:rPr>
        <w:t xml:space="preserve"> unless otherwise listed</w:t>
      </w:r>
      <w:r>
        <w:rPr>
          <w:spacing w:val="-3"/>
        </w:rPr>
        <w:t>.</w:t>
      </w:r>
      <w:r>
        <w:rPr>
          <w:spacing w:val="52"/>
        </w:rPr>
        <w:t xml:space="preserve"> </w:t>
      </w:r>
      <w:r>
        <w:rPr>
          <w:spacing w:val="-3"/>
        </w:rPr>
        <w:t>Continuing</w:t>
      </w:r>
      <w:r>
        <w:rPr>
          <w:spacing w:val="-10"/>
        </w:rPr>
        <w:t xml:space="preserve"> </w:t>
      </w:r>
      <w:r>
        <w:rPr>
          <w:spacing w:val="-3"/>
        </w:rPr>
        <w:t>Education</w:t>
      </w:r>
      <w:r>
        <w:rPr>
          <w:spacing w:val="-5"/>
        </w:rPr>
        <w:t xml:space="preserve"> </w:t>
      </w:r>
      <w:r>
        <w:rPr>
          <w:spacing w:val="-3"/>
        </w:rPr>
        <w:t>Units</w:t>
      </w:r>
      <w:r>
        <w:rPr>
          <w:spacing w:val="-5"/>
        </w:rPr>
        <w:t xml:space="preserve"> </w:t>
      </w:r>
      <w:r>
        <w:rPr>
          <w:spacing w:val="-3"/>
        </w:rPr>
        <w:t>(CEUs)</w:t>
      </w:r>
      <w:r>
        <w:rPr>
          <w:spacing w:val="-2"/>
        </w:rPr>
        <w:t xml:space="preserve"> </w:t>
      </w:r>
      <w:r>
        <w:t>and</w:t>
      </w:r>
      <w:r>
        <w:rPr>
          <w:spacing w:val="-5"/>
        </w:rPr>
        <w:t xml:space="preserve"> </w:t>
      </w:r>
      <w:r>
        <w:rPr>
          <w:spacing w:val="-3"/>
        </w:rPr>
        <w:t>certificates</w:t>
      </w:r>
      <w:r>
        <w:rPr>
          <w:spacing w:val="-5"/>
        </w:rPr>
        <w:t xml:space="preserve"> </w:t>
      </w:r>
      <w:r>
        <w:rPr>
          <w:spacing w:val="-3"/>
        </w:rPr>
        <w:t>will</w:t>
      </w:r>
      <w:r w:rsidR="009101D6">
        <w:rPr>
          <w:spacing w:val="104"/>
        </w:rPr>
        <w:t xml:space="preserve"> </w:t>
      </w:r>
      <w:r>
        <w:t>be</w:t>
      </w:r>
      <w:r>
        <w:rPr>
          <w:spacing w:val="-2"/>
        </w:rPr>
        <w:t xml:space="preserve"> </w:t>
      </w:r>
      <w:r>
        <w:rPr>
          <w:spacing w:val="-3"/>
        </w:rPr>
        <w:t xml:space="preserve">awarded </w:t>
      </w:r>
      <w:r>
        <w:rPr>
          <w:spacing w:val="-2"/>
        </w:rPr>
        <w:t>upon</w:t>
      </w:r>
      <w:r>
        <w:t xml:space="preserve"> </w:t>
      </w:r>
      <w:r>
        <w:rPr>
          <w:spacing w:val="-3"/>
        </w:rPr>
        <w:t>successful</w:t>
      </w:r>
      <w:r>
        <w:rPr>
          <w:spacing w:val="-6"/>
        </w:rPr>
        <w:t xml:space="preserve"> </w:t>
      </w:r>
      <w:r>
        <w:rPr>
          <w:spacing w:val="-2"/>
        </w:rPr>
        <w:t>completion</w:t>
      </w:r>
      <w:r>
        <w:t xml:space="preserve"> </w:t>
      </w:r>
      <w:r>
        <w:rPr>
          <w:spacing w:val="-2"/>
        </w:rPr>
        <w:t>of</w:t>
      </w:r>
      <w:r>
        <w:rPr>
          <w:spacing w:val="-7"/>
        </w:rPr>
        <w:t xml:space="preserve"> </w:t>
      </w:r>
      <w:r>
        <w:rPr>
          <w:spacing w:val="-1"/>
        </w:rPr>
        <w:t>each</w:t>
      </w:r>
      <w:r>
        <w:rPr>
          <w:spacing w:val="-5"/>
        </w:rPr>
        <w:t xml:space="preserve"> </w:t>
      </w:r>
      <w:r>
        <w:rPr>
          <w:spacing w:val="-2"/>
        </w:rPr>
        <w:t>course.</w:t>
      </w:r>
      <w:r>
        <w:t xml:space="preserve"> </w:t>
      </w:r>
      <w:r>
        <w:rPr>
          <w:spacing w:val="2"/>
        </w:rPr>
        <w:t xml:space="preserve"> </w:t>
      </w:r>
      <w:r>
        <w:rPr>
          <w:spacing w:val="-1"/>
        </w:rPr>
        <w:t>For</w:t>
      </w:r>
      <w:r>
        <w:rPr>
          <w:spacing w:val="1"/>
        </w:rPr>
        <w:t xml:space="preserve"> </w:t>
      </w:r>
      <w:r>
        <w:rPr>
          <w:spacing w:val="-3"/>
        </w:rPr>
        <w:t>more</w:t>
      </w:r>
      <w:r>
        <w:rPr>
          <w:spacing w:val="-5"/>
        </w:rPr>
        <w:t xml:space="preserve"> </w:t>
      </w:r>
      <w:r>
        <w:rPr>
          <w:spacing w:val="-3"/>
        </w:rPr>
        <w:t>information</w:t>
      </w:r>
      <w:r w:rsidR="00A6415F">
        <w:rPr>
          <w:spacing w:val="-3"/>
        </w:rPr>
        <w:t>, or to register</w:t>
      </w:r>
      <w:r>
        <w:rPr>
          <w:spacing w:val="-3"/>
        </w:rPr>
        <w:t>,</w:t>
      </w:r>
      <w:r>
        <w:rPr>
          <w:spacing w:val="-5"/>
        </w:rPr>
        <w:t xml:space="preserve"> </w:t>
      </w:r>
      <w:r>
        <w:rPr>
          <w:spacing w:val="-2"/>
        </w:rPr>
        <w:t>call 409-933-8365</w:t>
      </w:r>
      <w:r w:rsidR="00A6415F">
        <w:rPr>
          <w:spacing w:val="-5"/>
        </w:rPr>
        <w:t>,</w:t>
      </w:r>
      <w:r>
        <w:rPr>
          <w:spacing w:val="1"/>
        </w:rPr>
        <w:t xml:space="preserve"> </w:t>
      </w:r>
      <w:r>
        <w:rPr>
          <w:spacing w:val="-3"/>
        </w:rPr>
        <w:t>email</w:t>
      </w:r>
      <w:r w:rsidR="00A6415F">
        <w:t xml:space="preserve"> </w:t>
      </w:r>
      <w:hyperlink r:id="rId8" w:history="1">
        <w:r w:rsidR="00A6415F" w:rsidRPr="007977F7">
          <w:rPr>
            <w:rStyle w:val="Hyperlink"/>
          </w:rPr>
          <w:t>riskmanagement@com.edu</w:t>
        </w:r>
      </w:hyperlink>
      <w:r w:rsidR="00A6415F">
        <w:t xml:space="preserve">, or visit </w:t>
      </w:r>
      <w:hyperlink r:id="rId9" w:history="1">
        <w:r w:rsidR="00A6415F" w:rsidRPr="007977F7">
          <w:rPr>
            <w:rStyle w:val="Hyperlink"/>
          </w:rPr>
          <w:t>www.com.edu/gcsi</w:t>
        </w:r>
      </w:hyperlink>
      <w:r w:rsidR="00A6415F">
        <w:t xml:space="preserve">. </w:t>
      </w:r>
      <w:r w:rsidR="00A6415F">
        <w:br/>
      </w:r>
      <w:bookmarkStart w:id="0" w:name="LEGAL_ASPECTS_OF_SAFETY-8HRS"/>
      <w:bookmarkEnd w:id="0"/>
    </w:p>
    <w:p w:rsidR="0092210D" w:rsidRDefault="004A1B81" w:rsidP="0092210D">
      <w:pPr>
        <w:pStyle w:val="Heading1"/>
        <w:ind w:left="0"/>
      </w:pPr>
      <w:r w:rsidRPr="004A1B81">
        <w:t>Introduction to the Department of Homeland Security Chemical Anti-Terrorism Standard</w:t>
      </w:r>
      <w:r w:rsidR="0092210D" w:rsidRPr="000E4D6E">
        <w:t xml:space="preserve"> – 8 hrs</w:t>
      </w:r>
    </w:p>
    <w:p w:rsidR="004A1B81" w:rsidRDefault="004A1B81" w:rsidP="0092210D">
      <w:pPr>
        <w:pStyle w:val="Heading1"/>
        <w:ind w:left="0"/>
        <w:rPr>
          <w:b w:val="0"/>
        </w:rPr>
      </w:pPr>
      <w:r w:rsidRPr="004A1B81">
        <w:rPr>
          <w:b w:val="0"/>
        </w:rPr>
        <w:t>The Chemical Facility Anti-Terrorism Standard has been in effect for five years and currently monitors over 3,300 facilities.  There are more than 300 chemicals of interest categorized as possible security issues due to release, theft or diversion, or sabotage. On August 1, 2013, the federal government issued an Executive Order (EO) “Improving Chemical Facility Safety and Secu</w:t>
      </w:r>
      <w:r>
        <w:rPr>
          <w:b w:val="0"/>
        </w:rPr>
        <w:t>rity” to improve the safety/</w:t>
      </w:r>
      <w:r w:rsidRPr="004A1B81">
        <w:rPr>
          <w:b w:val="0"/>
        </w:rPr>
        <w:t>security of chemical facilities and reduce the risks of hazardous chemicals to workers and communities. The EO established the Chemical Facility Safety and Security (Working Group)—tri-chaired by the Department of Homeland Security (DHS), the Environmental Protection Agency (EPA), and the Secretary of Labor—to oversee this effort. In response DHS created the Infrastructure Protection (IP) Gateway-a repository of critical infrastructure tools and information to improve coordination between Federal, State, local governments, and community stakeholders to strengthen the program.  This course we will discuss:  recognizing chemicals of interest; developing a compliance plan; interacting with DHS; adherence to common requirements to comply; costs and budgeting.</w:t>
      </w:r>
    </w:p>
    <w:p w:rsidR="0092210D" w:rsidRDefault="00CD735A" w:rsidP="0092210D">
      <w:pPr>
        <w:pStyle w:val="Heading1"/>
        <w:ind w:left="0"/>
        <w:rPr>
          <w:b w:val="0"/>
        </w:rPr>
      </w:pPr>
      <w:r>
        <w:rPr>
          <w:b w:val="0"/>
        </w:rPr>
        <w:t>SAFE-</w:t>
      </w:r>
      <w:r w:rsidR="00FC2DE3">
        <w:rPr>
          <w:b w:val="0"/>
        </w:rPr>
        <w:t>1816</w:t>
      </w:r>
      <w:r w:rsidR="00BA2B1B">
        <w:rPr>
          <w:b w:val="0"/>
        </w:rPr>
        <w:t>-</w:t>
      </w:r>
      <w:r>
        <w:rPr>
          <w:b w:val="0"/>
        </w:rPr>
        <w:t>OSHT-1071-</w:t>
      </w:r>
      <w:r w:rsidR="00FC2DE3">
        <w:rPr>
          <w:b w:val="0"/>
        </w:rPr>
        <w:t>117</w:t>
      </w:r>
      <w:r w:rsidR="0092210D" w:rsidRPr="00EA689B">
        <w:rPr>
          <w:b w:val="0"/>
        </w:rPr>
        <w:t>CL</w:t>
      </w:r>
      <w:r w:rsidR="0092210D" w:rsidRPr="00EA689B">
        <w:rPr>
          <w:b w:val="0"/>
        </w:rPr>
        <w:tab/>
        <w:t>0</w:t>
      </w:r>
      <w:r w:rsidR="00000778">
        <w:rPr>
          <w:b w:val="0"/>
        </w:rPr>
        <w:t>9</w:t>
      </w:r>
      <w:r w:rsidR="0092210D" w:rsidRPr="00EA689B">
        <w:rPr>
          <w:b w:val="0"/>
        </w:rPr>
        <w:t>/</w:t>
      </w:r>
      <w:r w:rsidR="0092210D">
        <w:rPr>
          <w:b w:val="0"/>
        </w:rPr>
        <w:t>0</w:t>
      </w:r>
      <w:r w:rsidR="00000778">
        <w:rPr>
          <w:b w:val="0"/>
        </w:rPr>
        <w:t>7</w:t>
      </w:r>
      <w:r w:rsidR="00A5498D">
        <w:rPr>
          <w:b w:val="0"/>
        </w:rPr>
        <w:t>/18</w:t>
      </w:r>
      <w:r w:rsidR="0092210D" w:rsidRPr="00EA689B">
        <w:rPr>
          <w:b w:val="0"/>
        </w:rPr>
        <w:tab/>
        <w:t xml:space="preserve">GCSI </w:t>
      </w:r>
      <w:r w:rsidR="0060149A">
        <w:rPr>
          <w:b w:val="0"/>
        </w:rPr>
        <w:tab/>
      </w:r>
      <w:r w:rsidR="0092210D" w:rsidRPr="00EA689B">
        <w:rPr>
          <w:b w:val="0"/>
        </w:rPr>
        <w:t xml:space="preserve">Rm </w:t>
      </w:r>
      <w:r w:rsidR="006B46D4">
        <w:rPr>
          <w:b w:val="0"/>
        </w:rPr>
        <w:t>115</w:t>
      </w:r>
      <w:r w:rsidR="006B46D4">
        <w:rPr>
          <w:b w:val="0"/>
        </w:rPr>
        <w:tab/>
      </w:r>
      <w:r w:rsidR="0092210D" w:rsidRPr="00EA689B">
        <w:rPr>
          <w:b w:val="0"/>
        </w:rPr>
        <w:tab/>
      </w:r>
      <w:r w:rsidR="004A1B81">
        <w:rPr>
          <w:b w:val="0"/>
        </w:rPr>
        <w:t>L. Mcgaha</w:t>
      </w:r>
    </w:p>
    <w:p w:rsidR="0092210D" w:rsidRPr="000E4D6E" w:rsidRDefault="0092210D" w:rsidP="0092210D">
      <w:pPr>
        <w:pStyle w:val="Heading1"/>
        <w:ind w:left="0"/>
        <w:rPr>
          <w:b w:val="0"/>
        </w:rPr>
      </w:pPr>
    </w:p>
    <w:p w:rsidR="000E4D6E" w:rsidRDefault="00000778" w:rsidP="000E4D6E">
      <w:pPr>
        <w:pStyle w:val="Heading1"/>
        <w:ind w:left="0"/>
      </w:pPr>
      <w:r w:rsidRPr="00000778">
        <w:t>The Art of Conflict Resolution</w:t>
      </w:r>
      <w:r w:rsidR="000E4D6E" w:rsidRPr="000E4D6E">
        <w:t xml:space="preserve">– 8 </w:t>
      </w:r>
      <w:r w:rsidR="006D36D5">
        <w:t>hrs</w:t>
      </w:r>
    </w:p>
    <w:p w:rsidR="00000778" w:rsidRDefault="00000778" w:rsidP="00A5498D">
      <w:pPr>
        <w:pStyle w:val="Heading1"/>
        <w:ind w:left="0"/>
        <w:rPr>
          <w:b w:val="0"/>
        </w:rPr>
      </w:pPr>
      <w:r w:rsidRPr="00000778">
        <w:rPr>
          <w:b w:val="0"/>
        </w:rPr>
        <w:t>Conflict resolution is a way for two or more parties to find a peaceful solution to a disagreement among them. The disagreement may be personal, financial, political, or emotional.  Effective communication skills are paramount in conflict resolution in the workplace.  In this course participants will learn effective communication strategies, understand how to resolve conflicts more effectively and discover how biases, assumptions, perceptions and opinions not based in reality causes conflict.</w:t>
      </w:r>
    </w:p>
    <w:p w:rsidR="002B2C72" w:rsidRDefault="00CD735A" w:rsidP="00A5498D">
      <w:pPr>
        <w:pStyle w:val="Heading1"/>
        <w:ind w:left="0"/>
        <w:rPr>
          <w:b w:val="0"/>
        </w:rPr>
      </w:pPr>
      <w:r>
        <w:rPr>
          <w:b w:val="0"/>
        </w:rPr>
        <w:t>SAFE</w:t>
      </w:r>
      <w:r w:rsidR="00EA689B" w:rsidRPr="00EA689B">
        <w:rPr>
          <w:b w:val="0"/>
        </w:rPr>
        <w:t>-</w:t>
      </w:r>
      <w:r w:rsidR="00FC2DE3">
        <w:rPr>
          <w:b w:val="0"/>
        </w:rPr>
        <w:t>1817</w:t>
      </w:r>
      <w:r w:rsidR="00050518">
        <w:rPr>
          <w:b w:val="0"/>
        </w:rPr>
        <w:t>-</w:t>
      </w:r>
      <w:r w:rsidR="00EA689B" w:rsidRPr="00EA689B">
        <w:rPr>
          <w:b w:val="0"/>
        </w:rPr>
        <w:t>OSHT-1071-</w:t>
      </w:r>
      <w:r w:rsidR="00050518">
        <w:rPr>
          <w:b w:val="0"/>
        </w:rPr>
        <w:t>1</w:t>
      </w:r>
      <w:r w:rsidR="00FC2DE3">
        <w:rPr>
          <w:b w:val="0"/>
        </w:rPr>
        <w:t>18</w:t>
      </w:r>
      <w:r w:rsidR="00000778">
        <w:rPr>
          <w:b w:val="0"/>
        </w:rPr>
        <w:t>CL</w:t>
      </w:r>
      <w:r w:rsidR="00000778">
        <w:rPr>
          <w:b w:val="0"/>
        </w:rPr>
        <w:tab/>
        <w:t>09/21</w:t>
      </w:r>
      <w:r w:rsidR="00A5498D">
        <w:rPr>
          <w:b w:val="0"/>
        </w:rPr>
        <w:t>/18</w:t>
      </w:r>
      <w:r w:rsidR="00A5498D">
        <w:rPr>
          <w:b w:val="0"/>
        </w:rPr>
        <w:tab/>
        <w:t xml:space="preserve">GCSI </w:t>
      </w:r>
      <w:r w:rsidR="0060149A">
        <w:rPr>
          <w:b w:val="0"/>
        </w:rPr>
        <w:tab/>
      </w:r>
      <w:r w:rsidR="006B46D4">
        <w:rPr>
          <w:b w:val="0"/>
        </w:rPr>
        <w:t>Rm 115</w:t>
      </w:r>
      <w:r w:rsidR="00EA689B" w:rsidRPr="00EA689B">
        <w:rPr>
          <w:b w:val="0"/>
        </w:rPr>
        <w:tab/>
      </w:r>
      <w:r w:rsidR="00EA689B" w:rsidRPr="00EA689B">
        <w:rPr>
          <w:b w:val="0"/>
        </w:rPr>
        <w:tab/>
      </w:r>
      <w:r w:rsidR="00000778">
        <w:rPr>
          <w:b w:val="0"/>
        </w:rPr>
        <w:t>P. Harrell</w:t>
      </w:r>
    </w:p>
    <w:p w:rsidR="00DD69C7" w:rsidRDefault="00DD69C7" w:rsidP="00A5498D">
      <w:pPr>
        <w:pStyle w:val="Heading1"/>
        <w:ind w:left="0"/>
        <w:rPr>
          <w:b w:val="0"/>
        </w:rPr>
      </w:pPr>
    </w:p>
    <w:p w:rsidR="00DD69C7" w:rsidRDefault="00000778" w:rsidP="00A5498D">
      <w:pPr>
        <w:pStyle w:val="Heading1"/>
        <w:ind w:left="0"/>
      </w:pPr>
      <w:r w:rsidRPr="00000778">
        <w:t>Workshop on ISO-45001 Occupational Health &amp; Safety Management</w:t>
      </w:r>
      <w:r w:rsidR="00DD69C7">
        <w:t>–</w:t>
      </w:r>
      <w:r w:rsidR="00DD69C7" w:rsidRPr="00DD69C7">
        <w:t xml:space="preserve"> 8</w:t>
      </w:r>
      <w:r w:rsidR="00CE615C">
        <w:t xml:space="preserve"> hrs</w:t>
      </w:r>
    </w:p>
    <w:p w:rsidR="00000778" w:rsidRDefault="00000778" w:rsidP="00DD69C7">
      <w:pPr>
        <w:pStyle w:val="Heading1"/>
        <w:ind w:left="0"/>
        <w:rPr>
          <w:b w:val="0"/>
        </w:rPr>
      </w:pPr>
      <w:r w:rsidRPr="00000778">
        <w:rPr>
          <w:b w:val="0"/>
        </w:rPr>
        <w:t>ISO 45001, a global occupation health and safety management system standard, is intended to replace the widely implemented BS OHSAS 18001. It is anticipated that organizations currently certified to BS OHSAS 18001 will need to migrate to ISO 45001 within three years of the new standard’s publication. Having an internationally recognized occupational health and safety management system (OH&amp;SMS) allows you to enhance organizational health and safety performance.  Participants will obtain a detailed understanding of the key terms, definitions and requirements of ISO 45001 and how the standard can help their organization to better align their strategic direction with their occupational health and safety management system.</w:t>
      </w:r>
    </w:p>
    <w:p w:rsidR="00DD69C7" w:rsidRDefault="00DD69C7" w:rsidP="00DD69C7">
      <w:pPr>
        <w:pStyle w:val="Heading1"/>
        <w:ind w:left="0"/>
        <w:rPr>
          <w:b w:val="0"/>
        </w:rPr>
      </w:pPr>
      <w:r>
        <w:rPr>
          <w:b w:val="0"/>
        </w:rPr>
        <w:t>SAFE</w:t>
      </w:r>
      <w:r w:rsidRPr="00EA689B">
        <w:rPr>
          <w:b w:val="0"/>
        </w:rPr>
        <w:t>-</w:t>
      </w:r>
      <w:r w:rsidR="00FC2DE3">
        <w:rPr>
          <w:b w:val="0"/>
        </w:rPr>
        <w:t>1818</w:t>
      </w:r>
      <w:r w:rsidR="00050518">
        <w:rPr>
          <w:b w:val="0"/>
        </w:rPr>
        <w:t>-</w:t>
      </w:r>
      <w:r w:rsidRPr="00EA689B">
        <w:rPr>
          <w:b w:val="0"/>
        </w:rPr>
        <w:t>OSHT-1071-</w:t>
      </w:r>
      <w:r w:rsidR="00000778">
        <w:rPr>
          <w:b w:val="0"/>
        </w:rPr>
        <w:t>119CL</w:t>
      </w:r>
      <w:r w:rsidR="00000778">
        <w:rPr>
          <w:b w:val="0"/>
        </w:rPr>
        <w:tab/>
        <w:t>10/05</w:t>
      </w:r>
      <w:r>
        <w:rPr>
          <w:b w:val="0"/>
        </w:rPr>
        <w:t>/18</w:t>
      </w:r>
      <w:r>
        <w:rPr>
          <w:b w:val="0"/>
        </w:rPr>
        <w:tab/>
        <w:t xml:space="preserve">GCSI </w:t>
      </w:r>
      <w:r w:rsidR="0060149A">
        <w:rPr>
          <w:b w:val="0"/>
        </w:rPr>
        <w:tab/>
      </w:r>
      <w:r w:rsidR="006B46D4">
        <w:rPr>
          <w:b w:val="0"/>
        </w:rPr>
        <w:t>Rm 115</w:t>
      </w:r>
      <w:r w:rsidRPr="00EA689B">
        <w:rPr>
          <w:b w:val="0"/>
        </w:rPr>
        <w:tab/>
      </w:r>
      <w:r w:rsidRPr="00EA689B">
        <w:rPr>
          <w:b w:val="0"/>
        </w:rPr>
        <w:tab/>
      </w:r>
      <w:r w:rsidR="00000778">
        <w:rPr>
          <w:b w:val="0"/>
        </w:rPr>
        <w:t>C. Litton</w:t>
      </w:r>
    </w:p>
    <w:p w:rsidR="002B2C72" w:rsidRDefault="002B2C72" w:rsidP="000E4D6E">
      <w:pPr>
        <w:pStyle w:val="Heading1"/>
        <w:ind w:left="0"/>
      </w:pPr>
    </w:p>
    <w:p w:rsidR="00000778" w:rsidRDefault="00000778" w:rsidP="000E4D6E">
      <w:pPr>
        <w:pStyle w:val="Heading1"/>
        <w:ind w:left="0"/>
      </w:pPr>
    </w:p>
    <w:p w:rsidR="00000778" w:rsidRDefault="00000778" w:rsidP="000E4D6E">
      <w:pPr>
        <w:pStyle w:val="Heading1"/>
        <w:ind w:left="0"/>
      </w:pPr>
    </w:p>
    <w:p w:rsidR="00000778" w:rsidRDefault="00000778" w:rsidP="000E4D6E">
      <w:pPr>
        <w:pStyle w:val="Heading1"/>
        <w:ind w:left="0"/>
      </w:pPr>
    </w:p>
    <w:p w:rsidR="00000778" w:rsidRDefault="00000778" w:rsidP="000E4D6E">
      <w:pPr>
        <w:pStyle w:val="Heading1"/>
        <w:ind w:left="0"/>
      </w:pPr>
    </w:p>
    <w:p w:rsidR="00000778" w:rsidRDefault="00000778" w:rsidP="000E4D6E">
      <w:pPr>
        <w:pStyle w:val="Heading1"/>
        <w:ind w:left="0"/>
      </w:pPr>
    </w:p>
    <w:p w:rsidR="00000778" w:rsidRDefault="00000778" w:rsidP="000E4D6E">
      <w:pPr>
        <w:pStyle w:val="Heading1"/>
        <w:ind w:left="0"/>
      </w:pPr>
    </w:p>
    <w:p w:rsidR="00000778" w:rsidRDefault="00000778" w:rsidP="000E4D6E">
      <w:pPr>
        <w:pStyle w:val="Heading1"/>
        <w:ind w:left="0"/>
      </w:pPr>
    </w:p>
    <w:p w:rsidR="000E4D6E" w:rsidRDefault="00000778" w:rsidP="000E4D6E">
      <w:pPr>
        <w:pStyle w:val="Heading1"/>
        <w:ind w:left="0"/>
      </w:pPr>
      <w:r w:rsidRPr="00000778">
        <w:t>Regulated Waste Management and RCRA Updates</w:t>
      </w:r>
      <w:r w:rsidR="000E4D6E" w:rsidRPr="000E4D6E">
        <w:t xml:space="preserve">– 8 hrs </w:t>
      </w:r>
    </w:p>
    <w:p w:rsidR="00000778" w:rsidRDefault="00000778" w:rsidP="000E4D6E">
      <w:pPr>
        <w:pStyle w:val="Heading1"/>
        <w:ind w:left="0"/>
        <w:rPr>
          <w:b w:val="0"/>
        </w:rPr>
      </w:pPr>
      <w:r>
        <w:rPr>
          <w:b w:val="0"/>
        </w:rPr>
        <w:t>U</w:t>
      </w:r>
      <w:r w:rsidRPr="00000778">
        <w:rPr>
          <w:b w:val="0"/>
        </w:rPr>
        <w:t>nder the auspices of the RCRA - Resource Conservation and Recovery Act of 1976, the EPA was tasked with developing regulations regarding the proper management of waste materials that went into effect in 1980. These regulations have gone relatively unchanged for 37 years. In roughly a one-year period, the EPA is rolling two of most substantial changes the regulated community could have ever imagined.  This course will address the basic requirements of waste management for a generator with particular emphasis on the changes brought about by the Generator Improvement Rule – GIR and E-Manifesting.</w:t>
      </w:r>
    </w:p>
    <w:p w:rsidR="0092210D" w:rsidRDefault="009A1AB7" w:rsidP="000E4D6E">
      <w:pPr>
        <w:pStyle w:val="Heading1"/>
        <w:ind w:left="0"/>
        <w:rPr>
          <w:b w:val="0"/>
        </w:rPr>
      </w:pPr>
      <w:r>
        <w:rPr>
          <w:b w:val="0"/>
        </w:rPr>
        <w:t>SAFE</w:t>
      </w:r>
      <w:r w:rsidR="00EA689B" w:rsidRPr="00EA689B">
        <w:rPr>
          <w:b w:val="0"/>
        </w:rPr>
        <w:t>-</w:t>
      </w:r>
      <w:r w:rsidR="0060149A">
        <w:rPr>
          <w:b w:val="0"/>
        </w:rPr>
        <w:t>1819</w:t>
      </w:r>
      <w:r w:rsidR="00050518">
        <w:rPr>
          <w:b w:val="0"/>
        </w:rPr>
        <w:t>-</w:t>
      </w:r>
      <w:r w:rsidR="00EA689B" w:rsidRPr="00EA689B">
        <w:rPr>
          <w:b w:val="0"/>
        </w:rPr>
        <w:t>OSHT-1071-1</w:t>
      </w:r>
      <w:r w:rsidR="00000778">
        <w:rPr>
          <w:b w:val="0"/>
        </w:rPr>
        <w:t>2</w:t>
      </w:r>
      <w:r w:rsidR="00050518">
        <w:rPr>
          <w:b w:val="0"/>
        </w:rPr>
        <w:t>0</w:t>
      </w:r>
      <w:r w:rsidR="00EA689B" w:rsidRPr="00EA689B">
        <w:rPr>
          <w:b w:val="0"/>
        </w:rPr>
        <w:t>CL</w:t>
      </w:r>
      <w:r w:rsidR="00EA689B" w:rsidRPr="00EA689B">
        <w:rPr>
          <w:b w:val="0"/>
        </w:rPr>
        <w:tab/>
      </w:r>
      <w:r w:rsidR="00000778">
        <w:rPr>
          <w:b w:val="0"/>
        </w:rPr>
        <w:t>10</w:t>
      </w:r>
      <w:r>
        <w:rPr>
          <w:b w:val="0"/>
        </w:rPr>
        <w:t>/</w:t>
      </w:r>
      <w:r w:rsidR="00000778">
        <w:rPr>
          <w:b w:val="0"/>
        </w:rPr>
        <w:t>19/</w:t>
      </w:r>
      <w:r w:rsidR="00A5498D">
        <w:rPr>
          <w:b w:val="0"/>
        </w:rPr>
        <w:t>18</w:t>
      </w:r>
      <w:r w:rsidR="00A5498D">
        <w:rPr>
          <w:b w:val="0"/>
        </w:rPr>
        <w:tab/>
        <w:t xml:space="preserve">GCSI </w:t>
      </w:r>
      <w:r w:rsidR="0060149A">
        <w:rPr>
          <w:b w:val="0"/>
        </w:rPr>
        <w:tab/>
      </w:r>
      <w:r w:rsidR="006B46D4">
        <w:rPr>
          <w:b w:val="0"/>
        </w:rPr>
        <w:t>Rm 115</w:t>
      </w:r>
      <w:r w:rsidR="00EA689B" w:rsidRPr="00EA689B">
        <w:rPr>
          <w:b w:val="0"/>
        </w:rPr>
        <w:tab/>
      </w:r>
      <w:r w:rsidR="00EA689B" w:rsidRPr="00EA689B">
        <w:rPr>
          <w:b w:val="0"/>
        </w:rPr>
        <w:tab/>
      </w:r>
      <w:r w:rsidR="00000778">
        <w:rPr>
          <w:b w:val="0"/>
        </w:rPr>
        <w:t>S. Laughlin</w:t>
      </w:r>
    </w:p>
    <w:p w:rsidR="00DD69C7" w:rsidRDefault="00DD69C7" w:rsidP="000E4D6E">
      <w:pPr>
        <w:pStyle w:val="Heading1"/>
        <w:ind w:left="0"/>
      </w:pPr>
    </w:p>
    <w:p w:rsidR="00DD69C7" w:rsidRPr="00DD69C7" w:rsidRDefault="000A2703" w:rsidP="000E4D6E">
      <w:pPr>
        <w:pStyle w:val="Heading1"/>
        <w:ind w:left="0"/>
      </w:pPr>
      <w:r w:rsidRPr="000A2703">
        <w:t>Incident Investigation</w:t>
      </w:r>
      <w:r w:rsidR="00DD69C7">
        <w:t>– 8 hrs</w:t>
      </w:r>
    </w:p>
    <w:p w:rsidR="000A2703" w:rsidRDefault="000A2703" w:rsidP="00DD69C7">
      <w:pPr>
        <w:pStyle w:val="Heading1"/>
        <w:ind w:left="0"/>
        <w:rPr>
          <w:b w:val="0"/>
        </w:rPr>
      </w:pPr>
      <w:r w:rsidRPr="000A2703">
        <w:rPr>
          <w:b w:val="0"/>
        </w:rPr>
        <w:t>An incident investigation is the account and analysis of an incident based on information gathered by a thorough examination of all causal and contributing factors involved.  It gets to the root causes of the incident, so similar occurrences can be prevented and future losses in the workplace can be avoided.  Investigations are conducted to meet legal compliance, but more importantly to help prevent reoccurrences.  Therefore, it is essential to ensure those who are responsible for investigating incidents are properly trained.  The objectives of this course will focus on techniques for gathering complete, accurate and objective incident data, how to conduct effective interviews, identifying causal and contributing factors, reporting findings and various tools and techniques for conducting an investigation.   Additionally, we will discuss some common mistakes that companies often make when conducting incident investigations and how to avoid them.</w:t>
      </w:r>
    </w:p>
    <w:p w:rsidR="00DD69C7" w:rsidRDefault="00DD69C7" w:rsidP="00DD69C7">
      <w:pPr>
        <w:pStyle w:val="Heading1"/>
        <w:ind w:left="0"/>
        <w:rPr>
          <w:b w:val="0"/>
        </w:rPr>
      </w:pPr>
      <w:r>
        <w:rPr>
          <w:b w:val="0"/>
        </w:rPr>
        <w:t>SAFE</w:t>
      </w:r>
      <w:r w:rsidRPr="00EA689B">
        <w:rPr>
          <w:b w:val="0"/>
        </w:rPr>
        <w:t>-</w:t>
      </w:r>
      <w:r w:rsidR="0060149A">
        <w:rPr>
          <w:b w:val="0"/>
        </w:rPr>
        <w:t>1820</w:t>
      </w:r>
      <w:r w:rsidR="00050518">
        <w:rPr>
          <w:b w:val="0"/>
        </w:rPr>
        <w:t>-</w:t>
      </w:r>
      <w:r w:rsidRPr="00EA689B">
        <w:rPr>
          <w:b w:val="0"/>
        </w:rPr>
        <w:t>OSHT-1071-1</w:t>
      </w:r>
      <w:r w:rsidR="00000778">
        <w:rPr>
          <w:b w:val="0"/>
        </w:rPr>
        <w:t>2</w:t>
      </w:r>
      <w:r w:rsidR="00050518">
        <w:rPr>
          <w:b w:val="0"/>
        </w:rPr>
        <w:t>1</w:t>
      </w:r>
      <w:r w:rsidRPr="00EA689B">
        <w:rPr>
          <w:b w:val="0"/>
        </w:rPr>
        <w:t>CL</w:t>
      </w:r>
      <w:r w:rsidRPr="00EA689B">
        <w:rPr>
          <w:b w:val="0"/>
        </w:rPr>
        <w:tab/>
      </w:r>
      <w:r w:rsidR="000A2703">
        <w:rPr>
          <w:b w:val="0"/>
        </w:rPr>
        <w:t>11/02</w:t>
      </w:r>
      <w:r>
        <w:rPr>
          <w:b w:val="0"/>
        </w:rPr>
        <w:t>/18</w:t>
      </w:r>
      <w:r>
        <w:rPr>
          <w:b w:val="0"/>
        </w:rPr>
        <w:tab/>
        <w:t xml:space="preserve">GCSI </w:t>
      </w:r>
      <w:r w:rsidR="0060149A">
        <w:rPr>
          <w:b w:val="0"/>
        </w:rPr>
        <w:tab/>
      </w:r>
      <w:r w:rsidR="006B46D4">
        <w:rPr>
          <w:b w:val="0"/>
        </w:rPr>
        <w:t>Rm 115</w:t>
      </w:r>
      <w:r w:rsidRPr="00EA689B">
        <w:rPr>
          <w:b w:val="0"/>
        </w:rPr>
        <w:tab/>
      </w:r>
      <w:r w:rsidRPr="00EA689B">
        <w:rPr>
          <w:b w:val="0"/>
        </w:rPr>
        <w:tab/>
      </w:r>
      <w:r w:rsidR="000A2703">
        <w:rPr>
          <w:b w:val="0"/>
        </w:rPr>
        <w:t>B. Wehnes</w:t>
      </w:r>
    </w:p>
    <w:p w:rsidR="00DD69C7" w:rsidRDefault="00DD69C7" w:rsidP="00684E71">
      <w:pPr>
        <w:pStyle w:val="Heading1"/>
        <w:ind w:left="0"/>
      </w:pPr>
    </w:p>
    <w:p w:rsidR="00684E71" w:rsidRPr="00684E71" w:rsidRDefault="000A2703" w:rsidP="00684E71">
      <w:pPr>
        <w:pStyle w:val="Heading1"/>
        <w:ind w:left="0"/>
      </w:pPr>
      <w:r w:rsidRPr="000A2703">
        <w:t>Active Shooter Preparedness</w:t>
      </w:r>
      <w:r w:rsidR="00684E71" w:rsidRPr="00684E71">
        <w:t xml:space="preserve">– 8 hrs </w:t>
      </w:r>
    </w:p>
    <w:p w:rsidR="000A2703" w:rsidRDefault="000A2703" w:rsidP="00635237">
      <w:pPr>
        <w:pStyle w:val="Heading1"/>
        <w:ind w:left="0"/>
        <w:rPr>
          <w:b w:val="0"/>
        </w:rPr>
      </w:pPr>
      <w:r w:rsidRPr="000A2703">
        <w:rPr>
          <w:b w:val="0"/>
        </w:rPr>
        <w:t xml:space="preserve">An active shooter is a person actively engaged in killing or attempting to kill people in a confined and populated area.  Active shooter situations </w:t>
      </w:r>
      <w:bookmarkStart w:id="1" w:name="_GoBack"/>
      <w:bookmarkEnd w:id="1"/>
      <w:r w:rsidRPr="000A2703">
        <w:rPr>
          <w:b w:val="0"/>
        </w:rPr>
        <w:t>are unpredictable and evolve quickly. The purpose of this class is to prepare participants for an active shooter in the workplace.  Participants will learn: how to recognize potential workplace violence indicators; actions to take when confronted with an active shooter; actions to take to prevent and prepare for potential incident; and how to manage the consequences of an active shooter incident.</w:t>
      </w:r>
    </w:p>
    <w:p w:rsidR="009A1AB7" w:rsidRPr="00DD69C7" w:rsidRDefault="009A1AB7" w:rsidP="00635237">
      <w:pPr>
        <w:pStyle w:val="Heading1"/>
        <w:ind w:left="0"/>
        <w:rPr>
          <w:b w:val="0"/>
        </w:rPr>
      </w:pPr>
      <w:r>
        <w:rPr>
          <w:b w:val="0"/>
        </w:rPr>
        <w:t>SAFE-</w:t>
      </w:r>
      <w:r w:rsidR="0060149A">
        <w:rPr>
          <w:b w:val="0"/>
        </w:rPr>
        <w:t>1821</w:t>
      </w:r>
      <w:r w:rsidR="000A2703">
        <w:rPr>
          <w:b w:val="0"/>
        </w:rPr>
        <w:t>-OSHT-1071-12</w:t>
      </w:r>
      <w:r w:rsidR="00050518">
        <w:rPr>
          <w:b w:val="0"/>
        </w:rPr>
        <w:t>2</w:t>
      </w:r>
      <w:r>
        <w:rPr>
          <w:b w:val="0"/>
        </w:rPr>
        <w:t xml:space="preserve">CL </w:t>
      </w:r>
      <w:r>
        <w:rPr>
          <w:b w:val="0"/>
        </w:rPr>
        <w:tab/>
      </w:r>
      <w:r w:rsidR="000A2703">
        <w:rPr>
          <w:b w:val="0"/>
        </w:rPr>
        <w:t>11/16</w:t>
      </w:r>
      <w:r w:rsidR="00635237">
        <w:rPr>
          <w:b w:val="0"/>
        </w:rPr>
        <w:t>/18</w:t>
      </w:r>
      <w:r w:rsidR="00635237">
        <w:rPr>
          <w:b w:val="0"/>
        </w:rPr>
        <w:tab/>
        <w:t xml:space="preserve">GCSI </w:t>
      </w:r>
      <w:r w:rsidR="0060149A">
        <w:rPr>
          <w:b w:val="0"/>
        </w:rPr>
        <w:tab/>
      </w:r>
      <w:r w:rsidR="006B46D4">
        <w:rPr>
          <w:b w:val="0"/>
        </w:rPr>
        <w:t>Rm 115</w:t>
      </w:r>
      <w:r w:rsidR="006B46D4">
        <w:rPr>
          <w:b w:val="0"/>
        </w:rPr>
        <w:tab/>
      </w:r>
      <w:r>
        <w:rPr>
          <w:b w:val="0"/>
        </w:rPr>
        <w:tab/>
      </w:r>
      <w:r w:rsidR="000A2703">
        <w:rPr>
          <w:b w:val="0"/>
        </w:rPr>
        <w:t>C. Rosier</w:t>
      </w:r>
    </w:p>
    <w:p w:rsidR="009A1AB7" w:rsidRDefault="009A1AB7" w:rsidP="00635237">
      <w:pPr>
        <w:pStyle w:val="Heading1"/>
        <w:ind w:left="0"/>
      </w:pPr>
    </w:p>
    <w:p w:rsidR="00635237" w:rsidRPr="00684E71" w:rsidRDefault="000A2703" w:rsidP="00635237">
      <w:pPr>
        <w:pStyle w:val="Heading1"/>
        <w:ind w:left="0"/>
      </w:pPr>
      <w:r w:rsidRPr="000A2703">
        <w:t>Crushing It:  Leading As a High Performer</w:t>
      </w:r>
      <w:r w:rsidR="00635237" w:rsidRPr="00684E71">
        <w:t xml:space="preserve">– 8 hrs </w:t>
      </w:r>
    </w:p>
    <w:p w:rsidR="000A2703" w:rsidRDefault="000A2703" w:rsidP="00635237">
      <w:pPr>
        <w:pStyle w:val="Heading1"/>
        <w:ind w:left="0"/>
        <w:rPr>
          <w:b w:val="0"/>
        </w:rPr>
      </w:pPr>
      <w:r w:rsidRPr="000A2703">
        <w:rPr>
          <w:b w:val="0"/>
        </w:rPr>
        <w:t xml:space="preserve">Every organization wants their team to win and be successful. In order to create sustained results, we must possess leadership and high performance skills in order to move from strategy to execution. "Crushing It" combines key leadership and high performance skills that will accelerate your teams’ performance and increase your influence. Because creating results requires high performance skills. Creating sustained results requires leadership. </w:t>
      </w:r>
    </w:p>
    <w:p w:rsidR="00635237" w:rsidRDefault="009A1AB7" w:rsidP="00635237">
      <w:pPr>
        <w:pStyle w:val="Heading1"/>
        <w:ind w:left="0"/>
        <w:rPr>
          <w:b w:val="0"/>
        </w:rPr>
      </w:pPr>
      <w:r>
        <w:rPr>
          <w:b w:val="0"/>
        </w:rPr>
        <w:t>SAFE-</w:t>
      </w:r>
      <w:r w:rsidR="0060149A">
        <w:rPr>
          <w:b w:val="0"/>
        </w:rPr>
        <w:t>1822</w:t>
      </w:r>
      <w:r w:rsidR="00050518">
        <w:rPr>
          <w:b w:val="0"/>
        </w:rPr>
        <w:t>-</w:t>
      </w:r>
      <w:r w:rsidR="00BA2B1B">
        <w:rPr>
          <w:b w:val="0"/>
        </w:rPr>
        <w:t>OSHT-</w:t>
      </w:r>
      <w:r w:rsidR="000A2703">
        <w:rPr>
          <w:b w:val="0"/>
        </w:rPr>
        <w:t>1071-12</w:t>
      </w:r>
      <w:r w:rsidR="00050518">
        <w:rPr>
          <w:b w:val="0"/>
        </w:rPr>
        <w:t>3CL</w:t>
      </w:r>
      <w:r w:rsidR="00050518">
        <w:rPr>
          <w:b w:val="0"/>
        </w:rPr>
        <w:tab/>
      </w:r>
      <w:r w:rsidR="000A2703">
        <w:rPr>
          <w:b w:val="0"/>
        </w:rPr>
        <w:t>11/30</w:t>
      </w:r>
      <w:r w:rsidR="00635237">
        <w:rPr>
          <w:b w:val="0"/>
        </w:rPr>
        <w:t>/18</w:t>
      </w:r>
      <w:r w:rsidR="00635237">
        <w:rPr>
          <w:b w:val="0"/>
        </w:rPr>
        <w:tab/>
        <w:t xml:space="preserve">GCSI </w:t>
      </w:r>
      <w:r w:rsidR="0060149A">
        <w:rPr>
          <w:b w:val="0"/>
        </w:rPr>
        <w:tab/>
      </w:r>
      <w:r w:rsidR="006B46D4">
        <w:rPr>
          <w:b w:val="0"/>
        </w:rPr>
        <w:t>Rm 115</w:t>
      </w:r>
      <w:r w:rsidR="00635237" w:rsidRPr="00684E71">
        <w:rPr>
          <w:b w:val="0"/>
        </w:rPr>
        <w:tab/>
      </w:r>
      <w:r w:rsidR="00635237" w:rsidRPr="00684E71">
        <w:rPr>
          <w:b w:val="0"/>
        </w:rPr>
        <w:tab/>
      </w:r>
      <w:r w:rsidR="000A2703">
        <w:rPr>
          <w:b w:val="0"/>
        </w:rPr>
        <w:t>M. Hernandez</w:t>
      </w:r>
    </w:p>
    <w:p w:rsidR="006B3EA0" w:rsidRDefault="00990F46" w:rsidP="00990F46">
      <w:pPr>
        <w:tabs>
          <w:tab w:val="left" w:pos="392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A2703" w:rsidRPr="00684E71" w:rsidRDefault="000A2703" w:rsidP="000A2703">
      <w:pPr>
        <w:pStyle w:val="Heading1"/>
        <w:ind w:left="0"/>
      </w:pPr>
      <w:r w:rsidRPr="000A2703">
        <w:t>Nuts &amp; Bolts of Industrial Hygiene</w:t>
      </w:r>
      <w:r w:rsidRPr="00684E71">
        <w:t xml:space="preserve">– 8 hrs </w:t>
      </w:r>
    </w:p>
    <w:p w:rsidR="000A2703" w:rsidRDefault="000A2703" w:rsidP="000A2703">
      <w:pPr>
        <w:pStyle w:val="Heading1"/>
        <w:ind w:left="0"/>
        <w:rPr>
          <w:b w:val="0"/>
        </w:rPr>
      </w:pPr>
      <w:r w:rsidRPr="000A2703">
        <w:rPr>
          <w:b w:val="0"/>
        </w:rPr>
        <w:t>By definition, industrial hygiene is the art and science of the anticipation, recognition, evaluation, communication and control of hazards in the workplace that may result in injury or illness. In practice, industrial hygiene is how we measure whether or not someone might get sick or hurt at their job. This class will cover the fundamentals of industrial hygiene and how to determine what the industrial hygiene program should look like at your facility.</w:t>
      </w:r>
    </w:p>
    <w:p w:rsidR="000A2703" w:rsidRDefault="000A2703" w:rsidP="000A2703">
      <w:pPr>
        <w:pStyle w:val="Heading1"/>
        <w:ind w:left="0"/>
        <w:rPr>
          <w:b w:val="0"/>
        </w:rPr>
      </w:pPr>
      <w:r>
        <w:rPr>
          <w:b w:val="0"/>
        </w:rPr>
        <w:t>SAFE-</w:t>
      </w:r>
      <w:r w:rsidR="0060149A">
        <w:rPr>
          <w:b w:val="0"/>
        </w:rPr>
        <w:t>1823</w:t>
      </w:r>
      <w:r>
        <w:rPr>
          <w:b w:val="0"/>
        </w:rPr>
        <w:t>-OSHT-1071-124CL</w:t>
      </w:r>
      <w:r>
        <w:rPr>
          <w:b w:val="0"/>
        </w:rPr>
        <w:tab/>
        <w:t>12/07/18</w:t>
      </w:r>
      <w:r>
        <w:rPr>
          <w:b w:val="0"/>
        </w:rPr>
        <w:tab/>
        <w:t xml:space="preserve">GCSI </w:t>
      </w:r>
      <w:r w:rsidR="0060149A">
        <w:rPr>
          <w:b w:val="0"/>
        </w:rPr>
        <w:tab/>
      </w:r>
      <w:r w:rsidR="006B46D4">
        <w:rPr>
          <w:b w:val="0"/>
        </w:rPr>
        <w:t>Rm 115</w:t>
      </w:r>
      <w:r w:rsidRPr="00684E71">
        <w:rPr>
          <w:b w:val="0"/>
        </w:rPr>
        <w:tab/>
      </w:r>
      <w:r w:rsidRPr="00684E71">
        <w:rPr>
          <w:b w:val="0"/>
        </w:rPr>
        <w:tab/>
      </w:r>
      <w:r>
        <w:rPr>
          <w:b w:val="0"/>
        </w:rPr>
        <w:t>T. Holowaty</w:t>
      </w:r>
    </w:p>
    <w:p w:rsidR="000A2703" w:rsidRDefault="000A2703" w:rsidP="00990F46">
      <w:pPr>
        <w:tabs>
          <w:tab w:val="left" w:pos="3922"/>
        </w:tabs>
        <w:rPr>
          <w:rFonts w:ascii="Times New Roman" w:eastAsia="Times New Roman" w:hAnsi="Times New Roman" w:cs="Times New Roman"/>
          <w:sz w:val="20"/>
          <w:szCs w:val="20"/>
        </w:rPr>
      </w:pPr>
    </w:p>
    <w:p w:rsidR="00635237" w:rsidRDefault="00635237" w:rsidP="00635237">
      <w:pPr>
        <w:pStyle w:val="Heading1"/>
        <w:ind w:left="0"/>
        <w:rPr>
          <w:b w:val="0"/>
        </w:rPr>
      </w:pPr>
    </w:p>
    <w:p w:rsidR="00575298" w:rsidRDefault="00575298" w:rsidP="00635237">
      <w:pPr>
        <w:pStyle w:val="Heading1"/>
        <w:ind w:left="0"/>
        <w:rPr>
          <w:b w:val="0"/>
        </w:rPr>
      </w:pPr>
    </w:p>
    <w:p w:rsidR="000D561C" w:rsidRDefault="000D561C" w:rsidP="000D561C">
      <w:pPr>
        <w:spacing w:before="10"/>
        <w:rPr>
          <w:rFonts w:ascii="Times New Roman" w:eastAsia="Times New Roman" w:hAnsi="Times New Roman" w:cs="Times New Roman"/>
          <w:sz w:val="24"/>
          <w:szCs w:val="24"/>
        </w:rPr>
      </w:pPr>
    </w:p>
    <w:p w:rsidR="00990F46" w:rsidRPr="00990F46" w:rsidRDefault="00990F46" w:rsidP="000D561C">
      <w:pPr>
        <w:spacing w:before="10"/>
        <w:jc w:val="center"/>
        <w:rPr>
          <w:rFonts w:ascii="Times New Roman" w:eastAsia="Times New Roman" w:hAnsi="Times New Roman" w:cs="Times New Roman"/>
          <w:b/>
          <w:sz w:val="24"/>
          <w:szCs w:val="24"/>
        </w:rPr>
      </w:pPr>
      <w:r w:rsidRPr="00990F46">
        <w:rPr>
          <w:rFonts w:ascii="Times New Roman" w:eastAsia="Times New Roman" w:hAnsi="Times New Roman" w:cs="Times New Roman"/>
          <w:b/>
          <w:sz w:val="24"/>
          <w:szCs w:val="24"/>
        </w:rPr>
        <w:t>Gulf Coast Safety Institute</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320 Delany Road</w:t>
      </w:r>
      <w:r w:rsidR="000D561C">
        <w:rPr>
          <w:rFonts w:ascii="Times New Roman" w:eastAsia="Times New Roman" w:hAnsi="Times New Roman" w:cs="Times New Roman"/>
          <w:b/>
          <w:sz w:val="24"/>
          <w:szCs w:val="24"/>
        </w:rPr>
        <w:t xml:space="preserve"> </w:t>
      </w:r>
      <w:r w:rsidRPr="00990F46">
        <w:rPr>
          <w:rFonts w:ascii="Times New Roman" w:eastAsia="Times New Roman" w:hAnsi="Times New Roman" w:cs="Times New Roman"/>
          <w:b/>
          <w:sz w:val="24"/>
          <w:szCs w:val="24"/>
        </w:rPr>
        <w:t>La Marque TX 77568</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409-933-8162</w:t>
      </w:r>
    </w:p>
    <w:sectPr w:rsidR="00990F46" w:rsidRPr="00990F46" w:rsidSect="00990F46">
      <w:pgSz w:w="12240" w:h="15840"/>
      <w:pgMar w:top="660" w:right="620" w:bottom="280" w:left="960" w:header="720" w:footer="720" w:gutter="0"/>
      <w:pgBorders w:offsetFrom="page">
        <w:top w:val="single" w:sz="8" w:space="19" w:color="948A54"/>
        <w:left w:val="single" w:sz="8" w:space="15" w:color="948A54"/>
        <w:bottom w:val="single" w:sz="8" w:space="21" w:color="948A54"/>
        <w:right w:val="single" w:sz="8" w:space="17" w:color="948A54"/>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E2" w:rsidRDefault="00506BE2" w:rsidP="00B27C3D">
      <w:r>
        <w:separator/>
      </w:r>
    </w:p>
  </w:endnote>
  <w:endnote w:type="continuationSeparator" w:id="0">
    <w:p w:rsidR="00506BE2" w:rsidRDefault="00506BE2" w:rsidP="00B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E2" w:rsidRDefault="00506BE2" w:rsidP="00B27C3D">
      <w:r>
        <w:separator/>
      </w:r>
    </w:p>
  </w:footnote>
  <w:footnote w:type="continuationSeparator" w:id="0">
    <w:p w:rsidR="00506BE2" w:rsidRDefault="00506BE2" w:rsidP="00B2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0"/>
    <w:rsid w:val="00000778"/>
    <w:rsid w:val="00015832"/>
    <w:rsid w:val="00025FCA"/>
    <w:rsid w:val="00031CC0"/>
    <w:rsid w:val="000420D7"/>
    <w:rsid w:val="00050518"/>
    <w:rsid w:val="0006696F"/>
    <w:rsid w:val="000A2703"/>
    <w:rsid w:val="000C3652"/>
    <w:rsid w:val="000D561C"/>
    <w:rsid w:val="000D728D"/>
    <w:rsid w:val="000E4D6E"/>
    <w:rsid w:val="00153EFC"/>
    <w:rsid w:val="001B7635"/>
    <w:rsid w:val="001F7E76"/>
    <w:rsid w:val="00257E74"/>
    <w:rsid w:val="00274955"/>
    <w:rsid w:val="00275EA8"/>
    <w:rsid w:val="002A0174"/>
    <w:rsid w:val="002A2A28"/>
    <w:rsid w:val="002B2C72"/>
    <w:rsid w:val="002F5116"/>
    <w:rsid w:val="00327201"/>
    <w:rsid w:val="003521B7"/>
    <w:rsid w:val="0038009C"/>
    <w:rsid w:val="003A4B63"/>
    <w:rsid w:val="003F74E2"/>
    <w:rsid w:val="00441AE7"/>
    <w:rsid w:val="004621F9"/>
    <w:rsid w:val="004A1B81"/>
    <w:rsid w:val="004A7A92"/>
    <w:rsid w:val="004D52EC"/>
    <w:rsid w:val="00506BE2"/>
    <w:rsid w:val="00557772"/>
    <w:rsid w:val="00575298"/>
    <w:rsid w:val="005B2432"/>
    <w:rsid w:val="005D5683"/>
    <w:rsid w:val="0060149A"/>
    <w:rsid w:val="0061157F"/>
    <w:rsid w:val="0063327C"/>
    <w:rsid w:val="00635237"/>
    <w:rsid w:val="00684E71"/>
    <w:rsid w:val="006B3EA0"/>
    <w:rsid w:val="006B3FA3"/>
    <w:rsid w:val="006B46D4"/>
    <w:rsid w:val="006D36D5"/>
    <w:rsid w:val="0070437A"/>
    <w:rsid w:val="007268E5"/>
    <w:rsid w:val="0073133C"/>
    <w:rsid w:val="007609A4"/>
    <w:rsid w:val="007A2736"/>
    <w:rsid w:val="007E1DBD"/>
    <w:rsid w:val="008868A0"/>
    <w:rsid w:val="008A2338"/>
    <w:rsid w:val="008E07EC"/>
    <w:rsid w:val="008F161F"/>
    <w:rsid w:val="009101D6"/>
    <w:rsid w:val="0092210D"/>
    <w:rsid w:val="0094620B"/>
    <w:rsid w:val="00990F46"/>
    <w:rsid w:val="009A1AB7"/>
    <w:rsid w:val="009B2347"/>
    <w:rsid w:val="009D2648"/>
    <w:rsid w:val="009E56A3"/>
    <w:rsid w:val="00A3627B"/>
    <w:rsid w:val="00A5498D"/>
    <w:rsid w:val="00A6415F"/>
    <w:rsid w:val="00A825C6"/>
    <w:rsid w:val="00AC62C4"/>
    <w:rsid w:val="00AD48AD"/>
    <w:rsid w:val="00AE2D62"/>
    <w:rsid w:val="00B202AA"/>
    <w:rsid w:val="00B20780"/>
    <w:rsid w:val="00B27C3D"/>
    <w:rsid w:val="00B33B03"/>
    <w:rsid w:val="00B950A8"/>
    <w:rsid w:val="00BA2B1B"/>
    <w:rsid w:val="00C66157"/>
    <w:rsid w:val="00C97BF9"/>
    <w:rsid w:val="00CA7938"/>
    <w:rsid w:val="00CD735A"/>
    <w:rsid w:val="00CE615C"/>
    <w:rsid w:val="00D45013"/>
    <w:rsid w:val="00DD11D3"/>
    <w:rsid w:val="00DD5DF5"/>
    <w:rsid w:val="00DD69C7"/>
    <w:rsid w:val="00DE1E0A"/>
    <w:rsid w:val="00E60FE0"/>
    <w:rsid w:val="00EA689B"/>
    <w:rsid w:val="00ED11BF"/>
    <w:rsid w:val="00F20DCB"/>
    <w:rsid w:val="00F412FF"/>
    <w:rsid w:val="00F612DD"/>
    <w:rsid w:val="00F647BD"/>
    <w:rsid w:val="00F91AFB"/>
    <w:rsid w:val="00FC2DE3"/>
    <w:rsid w:val="00FC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C96D5-65B3-4496-925D-8E1AAD4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C3D"/>
    <w:pPr>
      <w:tabs>
        <w:tab w:val="center" w:pos="4680"/>
        <w:tab w:val="right" w:pos="9360"/>
      </w:tabs>
    </w:pPr>
  </w:style>
  <w:style w:type="character" w:customStyle="1" w:styleId="HeaderChar">
    <w:name w:val="Header Char"/>
    <w:basedOn w:val="DefaultParagraphFont"/>
    <w:link w:val="Header"/>
    <w:uiPriority w:val="99"/>
    <w:rsid w:val="00B27C3D"/>
  </w:style>
  <w:style w:type="paragraph" w:styleId="Footer">
    <w:name w:val="footer"/>
    <w:basedOn w:val="Normal"/>
    <w:link w:val="FooterChar"/>
    <w:uiPriority w:val="99"/>
    <w:unhideWhenUsed/>
    <w:rsid w:val="00B27C3D"/>
    <w:pPr>
      <w:tabs>
        <w:tab w:val="center" w:pos="4680"/>
        <w:tab w:val="right" w:pos="9360"/>
      </w:tabs>
    </w:pPr>
  </w:style>
  <w:style w:type="character" w:customStyle="1" w:styleId="FooterChar">
    <w:name w:val="Footer Char"/>
    <w:basedOn w:val="DefaultParagraphFont"/>
    <w:link w:val="Footer"/>
    <w:uiPriority w:val="99"/>
    <w:rsid w:val="00B27C3D"/>
  </w:style>
  <w:style w:type="paragraph" w:styleId="BalloonText">
    <w:name w:val="Balloon Text"/>
    <w:basedOn w:val="Normal"/>
    <w:link w:val="BalloonTextChar"/>
    <w:uiPriority w:val="99"/>
    <w:semiHidden/>
    <w:unhideWhenUsed/>
    <w:rsid w:val="000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2"/>
    <w:rPr>
      <w:rFonts w:ascii="Segoe UI" w:hAnsi="Segoe UI" w:cs="Segoe UI"/>
      <w:sz w:val="18"/>
      <w:szCs w:val="18"/>
    </w:rPr>
  </w:style>
  <w:style w:type="character" w:styleId="Hyperlink">
    <w:name w:val="Hyperlink"/>
    <w:basedOn w:val="DefaultParagraphFont"/>
    <w:uiPriority w:val="99"/>
    <w:unhideWhenUsed/>
    <w:rsid w:val="009101D6"/>
    <w:rPr>
      <w:color w:val="0000FF" w:themeColor="hyperlink"/>
      <w:u w:val="single"/>
    </w:rPr>
  </w:style>
  <w:style w:type="character" w:customStyle="1" w:styleId="Heading1Char">
    <w:name w:val="Heading 1 Char"/>
    <w:basedOn w:val="DefaultParagraphFont"/>
    <w:link w:val="Heading1"/>
    <w:uiPriority w:val="1"/>
    <w:rsid w:val="0092210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skmanagement@com.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edu/g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Hemphill, SeAlice</dc:creator>
  <cp:lastModifiedBy>Delfin, Sophia</cp:lastModifiedBy>
  <cp:revision>2</cp:revision>
  <cp:lastPrinted>2017-06-13T19:06:00Z</cp:lastPrinted>
  <dcterms:created xsi:type="dcterms:W3CDTF">2018-08-28T20:06:00Z</dcterms:created>
  <dcterms:modified xsi:type="dcterms:W3CDTF">2018-08-28T20:06:00Z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2017-04-06T00:00:00Z</vt:filetime>
  </property>
  <property fmtid="{D5CDD505-2E9C-101B-9397-08002B2CF9AE}" pid="4" name="_DocHome">
    <vt:i4>-1922318006</vt:i4>
  </property>
</Properties>
</file>